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1FBC" w14:textId="77777777" w:rsidR="00047922" w:rsidRPr="00CE79FD" w:rsidRDefault="00047922" w:rsidP="00974D54">
      <w:pPr>
        <w:autoSpaceDE w:val="0"/>
        <w:autoSpaceDN w:val="0"/>
        <w:adjustRightInd w:val="0"/>
        <w:jc w:val="center"/>
        <w:rPr>
          <w:b/>
          <w:bCs/>
          <w:sz w:val="28"/>
          <w:szCs w:val="32"/>
          <w:lang w:val="en-US" w:eastAsia="zh-CN"/>
        </w:rPr>
      </w:pPr>
    </w:p>
    <w:p w14:paraId="15183369" w14:textId="77777777" w:rsidR="00885BA1" w:rsidRPr="00CE79FD" w:rsidRDefault="009555B3" w:rsidP="00047922">
      <w:pPr>
        <w:autoSpaceDE w:val="0"/>
        <w:autoSpaceDN w:val="0"/>
        <w:adjustRightInd w:val="0"/>
        <w:jc w:val="center"/>
        <w:rPr>
          <w:b/>
          <w:bCs/>
          <w:sz w:val="28"/>
          <w:szCs w:val="32"/>
          <w:lang w:val="en-US"/>
        </w:rPr>
      </w:pPr>
      <w:r w:rsidRPr="00CE79FD">
        <w:rPr>
          <w:b/>
          <w:bCs/>
          <w:sz w:val="28"/>
          <w:szCs w:val="32"/>
          <w:lang w:val="en-US"/>
        </w:rPr>
        <w:t>DOWNSIZING FIRE: NOVEL METHODS FOR INVESTIGATING FIRE BEHAVIOR OF MATERIALS</w:t>
      </w:r>
      <w:r w:rsidR="00055300" w:rsidRPr="00CE79FD">
        <w:rPr>
          <w:b/>
          <w:bCs/>
          <w:sz w:val="28"/>
          <w:szCs w:val="32"/>
          <w:lang w:val="en-US"/>
        </w:rPr>
        <w:t xml:space="preserve"> </w:t>
      </w:r>
    </w:p>
    <w:p w14:paraId="5C78FAE4" w14:textId="77777777" w:rsidR="00885BA1" w:rsidRPr="00CE79FD" w:rsidRDefault="00885BA1" w:rsidP="001E1C3A">
      <w:pPr>
        <w:autoSpaceDE w:val="0"/>
        <w:autoSpaceDN w:val="0"/>
        <w:adjustRightInd w:val="0"/>
        <w:snapToGrid w:val="0"/>
        <w:jc w:val="right"/>
        <w:rPr>
          <w:i/>
          <w:iCs/>
          <w:sz w:val="18"/>
          <w:szCs w:val="18"/>
          <w:lang w:val="en-US"/>
        </w:rPr>
      </w:pPr>
    </w:p>
    <w:p w14:paraId="283DDC10" w14:textId="77777777" w:rsidR="00885BA1" w:rsidRPr="00CE79FD" w:rsidRDefault="00467649" w:rsidP="00974D54">
      <w:pPr>
        <w:autoSpaceDE w:val="0"/>
        <w:autoSpaceDN w:val="0"/>
        <w:adjustRightInd w:val="0"/>
        <w:jc w:val="center"/>
        <w:rPr>
          <w:b/>
          <w:iCs/>
          <w:sz w:val="16"/>
          <w:szCs w:val="16"/>
          <w:lang w:val="en-US"/>
        </w:rPr>
      </w:pPr>
      <w:r w:rsidRPr="00CE79FD">
        <w:rPr>
          <w:b/>
          <w:iCs/>
          <w:lang w:val="en-US"/>
        </w:rPr>
        <w:t>S. Bourbigot</w:t>
      </w:r>
      <w:r w:rsidR="005A1E78" w:rsidRPr="00CE79FD">
        <w:rPr>
          <w:b/>
          <w:iCs/>
          <w:lang w:val="en-US" w:eastAsia="zh-CN"/>
        </w:rPr>
        <w:t xml:space="preserve"> </w:t>
      </w:r>
      <w:r w:rsidR="00885BA1" w:rsidRPr="00CE79FD">
        <w:rPr>
          <w:b/>
          <w:iCs/>
          <w:szCs w:val="16"/>
          <w:vertAlign w:val="superscript"/>
          <w:lang w:val="en-US"/>
        </w:rPr>
        <w:t>1</w:t>
      </w:r>
      <w:r w:rsidR="005A1E78" w:rsidRPr="00CE79FD">
        <w:rPr>
          <w:b/>
          <w:iCs/>
          <w:lang w:val="en-US"/>
        </w:rPr>
        <w:t>*,</w:t>
      </w:r>
      <w:r w:rsidR="00B467A2" w:rsidRPr="00CE79FD">
        <w:rPr>
          <w:b/>
          <w:iCs/>
          <w:lang w:val="en-US"/>
        </w:rPr>
        <w:t xml:space="preserve"> J. Sarazin</w:t>
      </w:r>
      <w:r w:rsidR="00B467A2" w:rsidRPr="00CE79FD">
        <w:rPr>
          <w:b/>
          <w:iCs/>
          <w:lang w:val="en-US" w:eastAsia="zh-CN"/>
        </w:rPr>
        <w:t xml:space="preserve"> </w:t>
      </w:r>
      <w:r w:rsidR="00B467A2" w:rsidRPr="00CE79FD">
        <w:rPr>
          <w:b/>
          <w:iCs/>
          <w:szCs w:val="16"/>
          <w:vertAlign w:val="superscript"/>
          <w:lang w:val="en-US"/>
        </w:rPr>
        <w:t>1</w:t>
      </w:r>
      <w:r w:rsidR="00B467A2" w:rsidRPr="00CE79FD">
        <w:rPr>
          <w:b/>
          <w:iCs/>
          <w:lang w:val="en-US"/>
        </w:rPr>
        <w:t>,</w:t>
      </w:r>
      <w:r w:rsidR="00885BA1" w:rsidRPr="00CE79FD">
        <w:rPr>
          <w:b/>
          <w:iCs/>
          <w:lang w:val="en-US"/>
        </w:rPr>
        <w:t xml:space="preserve"> </w:t>
      </w:r>
      <w:r w:rsidR="0089066C" w:rsidRPr="00CE79FD">
        <w:rPr>
          <w:b/>
          <w:iCs/>
          <w:lang w:val="en-US"/>
        </w:rPr>
        <w:t>P. Bachelet</w:t>
      </w:r>
      <w:r w:rsidR="0089066C" w:rsidRPr="00CE79FD">
        <w:rPr>
          <w:b/>
          <w:iCs/>
          <w:lang w:val="en-US" w:eastAsia="zh-CN"/>
        </w:rPr>
        <w:t xml:space="preserve"> </w:t>
      </w:r>
      <w:r w:rsidR="0089066C" w:rsidRPr="00CE79FD">
        <w:rPr>
          <w:b/>
          <w:iCs/>
          <w:szCs w:val="16"/>
          <w:vertAlign w:val="superscript"/>
          <w:lang w:val="en-US"/>
        </w:rPr>
        <w:t>1</w:t>
      </w:r>
      <w:r w:rsidR="0089066C" w:rsidRPr="00CE79FD">
        <w:rPr>
          <w:b/>
          <w:iCs/>
          <w:lang w:val="en-US"/>
        </w:rPr>
        <w:t>, T. Bensabath</w:t>
      </w:r>
      <w:r w:rsidR="0089066C" w:rsidRPr="00CE79FD">
        <w:rPr>
          <w:b/>
          <w:iCs/>
          <w:lang w:val="en-US" w:eastAsia="zh-CN"/>
        </w:rPr>
        <w:t xml:space="preserve"> </w:t>
      </w:r>
      <w:r w:rsidR="0089066C" w:rsidRPr="00CE79FD">
        <w:rPr>
          <w:b/>
          <w:iCs/>
          <w:szCs w:val="16"/>
          <w:vertAlign w:val="superscript"/>
          <w:lang w:val="en-US"/>
        </w:rPr>
        <w:t>1</w:t>
      </w:r>
    </w:p>
    <w:p w14:paraId="6830267B" w14:textId="77777777" w:rsidR="00885BA1" w:rsidRPr="00CE79FD" w:rsidRDefault="00885BA1" w:rsidP="001E1C3A">
      <w:pPr>
        <w:autoSpaceDE w:val="0"/>
        <w:autoSpaceDN w:val="0"/>
        <w:adjustRightInd w:val="0"/>
        <w:snapToGrid w:val="0"/>
        <w:jc w:val="right"/>
        <w:rPr>
          <w:i/>
          <w:iCs/>
          <w:sz w:val="18"/>
          <w:szCs w:val="18"/>
          <w:lang w:val="en-US"/>
        </w:rPr>
      </w:pPr>
    </w:p>
    <w:p w14:paraId="1A412044" w14:textId="77777777" w:rsidR="00885BA1" w:rsidRPr="00BE4D7C" w:rsidRDefault="00885BA1" w:rsidP="001E1C3A">
      <w:pPr>
        <w:autoSpaceDE w:val="0"/>
        <w:autoSpaceDN w:val="0"/>
        <w:adjustRightInd w:val="0"/>
        <w:snapToGrid w:val="0"/>
        <w:jc w:val="center"/>
        <w:rPr>
          <w:i/>
          <w:szCs w:val="16"/>
        </w:rPr>
      </w:pPr>
      <w:r w:rsidRPr="00CE79FD">
        <w:rPr>
          <w:i/>
          <w:szCs w:val="16"/>
          <w:vertAlign w:val="superscript"/>
          <w:lang w:val="en-US"/>
        </w:rPr>
        <w:t>1</w:t>
      </w:r>
      <w:r w:rsidRPr="00CE79FD">
        <w:rPr>
          <w:i/>
          <w:szCs w:val="16"/>
          <w:lang w:val="en-US"/>
        </w:rPr>
        <w:t xml:space="preserve"> </w:t>
      </w:r>
      <w:r w:rsidR="00253F39" w:rsidRPr="00CE79FD">
        <w:rPr>
          <w:i/>
          <w:szCs w:val="16"/>
          <w:lang w:val="en-US"/>
        </w:rPr>
        <w:t xml:space="preserve">Univ. </w:t>
      </w:r>
      <w:r w:rsidR="00253F39" w:rsidRPr="00BE4D7C">
        <w:rPr>
          <w:i/>
          <w:szCs w:val="16"/>
        </w:rPr>
        <w:t>Lille, CNRS, INRAE, Centrale Lille, UMR 8207 - UMET - Unité Matériaux et Transformations, F-59000 Lille, France</w:t>
      </w:r>
    </w:p>
    <w:p w14:paraId="4F7F938A" w14:textId="77777777" w:rsidR="00885BA1" w:rsidRPr="00BE4D7C" w:rsidRDefault="00885BA1" w:rsidP="000D7B6D">
      <w:pPr>
        <w:autoSpaceDE w:val="0"/>
        <w:autoSpaceDN w:val="0"/>
        <w:adjustRightInd w:val="0"/>
        <w:jc w:val="right"/>
        <w:rPr>
          <w:b/>
          <w:iCs/>
          <w:lang w:eastAsia="zh-CN"/>
        </w:rPr>
      </w:pPr>
    </w:p>
    <w:p w14:paraId="6C4BEFDE" w14:textId="77777777" w:rsidR="00CE79FD" w:rsidRPr="00CE79FD" w:rsidRDefault="000D7B6D" w:rsidP="00E814DD">
      <w:pPr>
        <w:autoSpaceDE w:val="0"/>
        <w:autoSpaceDN w:val="0"/>
        <w:adjustRightInd w:val="0"/>
        <w:jc w:val="both"/>
        <w:rPr>
          <w:b/>
          <w:iCs/>
          <w:lang w:val="en-US" w:eastAsia="zh-CN"/>
        </w:rPr>
      </w:pPr>
      <w:r w:rsidRPr="00CE79FD">
        <w:rPr>
          <w:b/>
          <w:iCs/>
          <w:lang w:val="en-US" w:eastAsia="zh-CN"/>
        </w:rPr>
        <w:t>Abstract</w:t>
      </w:r>
    </w:p>
    <w:p w14:paraId="383E1694" w14:textId="77777777" w:rsidR="000D7B6D" w:rsidRPr="00CE79FD" w:rsidRDefault="00CE79FD" w:rsidP="00E814DD">
      <w:pPr>
        <w:autoSpaceDE w:val="0"/>
        <w:autoSpaceDN w:val="0"/>
        <w:adjustRightInd w:val="0"/>
        <w:jc w:val="both"/>
        <w:rPr>
          <w:b/>
          <w:iCs/>
          <w:lang w:val="en-US" w:eastAsia="zh-CN"/>
        </w:rPr>
      </w:pPr>
      <w:r w:rsidRPr="00CE79FD">
        <w:rPr>
          <w:iCs/>
          <w:lang w:val="en-US" w:eastAsia="zh-CN"/>
        </w:rPr>
        <w:t>Scale reduction of fire scenarios is examined in the paper.</w:t>
      </w:r>
      <w:r w:rsidR="00FC78B8">
        <w:rPr>
          <w:iCs/>
          <w:lang w:val="en-US" w:eastAsia="zh-CN"/>
        </w:rPr>
        <w:t xml:space="preserve"> The effect of electric current in simulated cables upon burning and intumescent plastics in extreme fire conditions are investigated. It is shown that selected formulations exhibit an enhanced behavior (high time to pie</w:t>
      </w:r>
      <w:r w:rsidR="00517542">
        <w:rPr>
          <w:iCs/>
          <w:lang w:val="en-US" w:eastAsia="zh-CN"/>
        </w:rPr>
        <w:t>r</w:t>
      </w:r>
      <w:r w:rsidR="00FC78B8">
        <w:rPr>
          <w:iCs/>
          <w:lang w:val="en-US" w:eastAsia="zh-CN"/>
        </w:rPr>
        <w:t xml:space="preserve">cing at the burnthrough test and resistance to high current).  </w:t>
      </w:r>
    </w:p>
    <w:p w14:paraId="40F4FA37" w14:textId="77777777" w:rsidR="00885BA1" w:rsidRPr="00CE79FD" w:rsidRDefault="000360D5" w:rsidP="00E814DD">
      <w:pPr>
        <w:autoSpaceDE w:val="0"/>
        <w:autoSpaceDN w:val="0"/>
        <w:adjustRightInd w:val="0"/>
        <w:jc w:val="both"/>
        <w:rPr>
          <w:lang w:val="en-US" w:eastAsia="zh-CN"/>
        </w:rPr>
      </w:pPr>
      <w:r w:rsidRPr="00CE79FD">
        <w:rPr>
          <w:lang w:val="en-US" w:eastAsia="zh-CN"/>
        </w:rPr>
        <w:t xml:space="preserve"> </w:t>
      </w:r>
    </w:p>
    <w:p w14:paraId="112FF0A4" w14:textId="77777777" w:rsidR="00274C57" w:rsidRPr="00CE79FD" w:rsidRDefault="005D53DF" w:rsidP="00E814DD">
      <w:pPr>
        <w:autoSpaceDE w:val="0"/>
        <w:autoSpaceDN w:val="0"/>
        <w:adjustRightInd w:val="0"/>
        <w:jc w:val="both"/>
        <w:rPr>
          <w:b/>
          <w:iCs/>
          <w:lang w:val="en-US" w:eastAsia="zh-CN"/>
        </w:rPr>
      </w:pPr>
      <w:r w:rsidRPr="00CE79FD">
        <w:rPr>
          <w:b/>
          <w:iCs/>
          <w:lang w:val="en-US" w:eastAsia="zh-CN"/>
        </w:rPr>
        <w:t>In</w:t>
      </w:r>
      <w:r w:rsidR="00274C57" w:rsidRPr="00CE79FD">
        <w:rPr>
          <w:b/>
          <w:iCs/>
          <w:lang w:val="en-US" w:eastAsia="zh-CN"/>
        </w:rPr>
        <w:t>tr</w:t>
      </w:r>
      <w:r w:rsidRPr="00CE79FD">
        <w:rPr>
          <w:b/>
          <w:iCs/>
          <w:lang w:val="en-US" w:eastAsia="zh-CN"/>
        </w:rPr>
        <w:t>od</w:t>
      </w:r>
      <w:r w:rsidR="00274C57" w:rsidRPr="00CE79FD">
        <w:rPr>
          <w:b/>
          <w:iCs/>
          <w:lang w:val="en-US" w:eastAsia="zh-CN"/>
        </w:rPr>
        <w:t>uction</w:t>
      </w:r>
    </w:p>
    <w:p w14:paraId="772F8330" w14:textId="77777777" w:rsidR="00D77789" w:rsidRPr="00CE79FD" w:rsidRDefault="00B501A5" w:rsidP="00E814DD">
      <w:pPr>
        <w:pStyle w:val="Corpsdetexte"/>
        <w:rPr>
          <w:rFonts w:ascii="Times New Roman" w:hAnsi="Times New Roman"/>
          <w:lang w:val="en-US"/>
        </w:rPr>
      </w:pPr>
      <w:r w:rsidRPr="00CE79FD">
        <w:rPr>
          <w:rFonts w:ascii="Times New Roman" w:hAnsi="Times New Roman"/>
          <w:lang w:val="en-US" w:eastAsia="pt-BR"/>
        </w:rPr>
        <w:t>Fire testing for evaluating the reaction and resistance to fire of materials is generally time-consuming and expensive. Due to the complexity of fire phenomenon, full-scale tests are still the main and the most credible tool for investigating fire-related issues. However, the cost of those tests significantly increases with scale. The purpose of this paper is to examine the scale reduction and to mimic fire scenarios at the small scale.</w:t>
      </w:r>
      <w:r w:rsidR="00004365" w:rsidRPr="00CE79FD">
        <w:rPr>
          <w:rFonts w:ascii="Times New Roman" w:hAnsi="Times New Roman"/>
          <w:lang w:val="en-US"/>
        </w:rPr>
        <w:t xml:space="preserve"> </w:t>
      </w:r>
      <w:r w:rsidR="009344CD" w:rsidRPr="00CE79FD">
        <w:rPr>
          <w:rFonts w:ascii="Times New Roman" w:hAnsi="Times New Roman"/>
          <w:lang w:val="en-US"/>
        </w:rPr>
        <w:t xml:space="preserve">Our motivation is to develop </w:t>
      </w:r>
      <w:r w:rsidR="004719CB" w:rsidRPr="00CE79FD">
        <w:rPr>
          <w:rFonts w:ascii="Times New Roman" w:hAnsi="Times New Roman"/>
          <w:lang w:val="en-US"/>
        </w:rPr>
        <w:t xml:space="preserve">new methods at the reduced scale to investigate material undergoing specific fire constraint. It is expected to get more understanding on the mechanism of action of fire protective materials. In this paper, two approaches are presented: (i) the effect of the electric current on the fire behavior of flame retarded polymers and (ii) intumescent polymers undergoing extreme fire behavior. </w:t>
      </w:r>
    </w:p>
    <w:p w14:paraId="74C8D0CE" w14:textId="77777777" w:rsidR="00885BA1" w:rsidRPr="00CE79FD" w:rsidRDefault="00885BA1" w:rsidP="00E814DD">
      <w:pPr>
        <w:autoSpaceDE w:val="0"/>
        <w:autoSpaceDN w:val="0"/>
        <w:adjustRightInd w:val="0"/>
        <w:jc w:val="both"/>
        <w:rPr>
          <w:lang w:val="en-US" w:eastAsia="zh-CN"/>
        </w:rPr>
      </w:pPr>
    </w:p>
    <w:p w14:paraId="56FF5F27" w14:textId="77777777" w:rsidR="00885BA1" w:rsidRPr="00CE79FD" w:rsidRDefault="00984774" w:rsidP="00984774">
      <w:pPr>
        <w:autoSpaceDE w:val="0"/>
        <w:autoSpaceDN w:val="0"/>
        <w:adjustRightInd w:val="0"/>
        <w:jc w:val="both"/>
        <w:rPr>
          <w:lang w:val="en-US"/>
        </w:rPr>
      </w:pPr>
      <w:r w:rsidRPr="00CE79FD">
        <w:rPr>
          <w:b/>
          <w:iCs/>
          <w:lang w:val="en-US"/>
        </w:rPr>
        <w:t>Results</w:t>
      </w:r>
      <w:r w:rsidR="001A7751" w:rsidRPr="00CE79FD">
        <w:rPr>
          <w:b/>
          <w:iCs/>
          <w:lang w:val="en-US"/>
        </w:rPr>
        <w:t xml:space="preserve"> an</w:t>
      </w:r>
      <w:r w:rsidR="00B25DE7" w:rsidRPr="00CE79FD">
        <w:rPr>
          <w:b/>
          <w:iCs/>
          <w:lang w:val="en-US"/>
        </w:rPr>
        <w:t>d</w:t>
      </w:r>
      <w:r w:rsidR="001A7751" w:rsidRPr="00CE79FD">
        <w:rPr>
          <w:b/>
          <w:iCs/>
          <w:lang w:val="en-US"/>
        </w:rPr>
        <w:t xml:space="preserve"> discussion</w:t>
      </w:r>
      <w:r w:rsidRPr="00CE79FD">
        <w:rPr>
          <w:b/>
          <w:iCs/>
          <w:lang w:val="en-US"/>
        </w:rPr>
        <w:t xml:space="preserve"> </w:t>
      </w:r>
    </w:p>
    <w:p w14:paraId="1DF23FCD" w14:textId="77777777" w:rsidR="00B25DE7" w:rsidRPr="00CE79FD" w:rsidRDefault="00B25DE7" w:rsidP="00B25DE7">
      <w:pPr>
        <w:pStyle w:val="Corpsdetexte"/>
        <w:numPr>
          <w:ilvl w:val="0"/>
          <w:numId w:val="1"/>
        </w:numPr>
        <w:rPr>
          <w:rFonts w:ascii="Times New Roman" w:hAnsi="Times New Roman"/>
          <w:b/>
          <w:i/>
          <w:lang w:val="en-US"/>
        </w:rPr>
      </w:pPr>
      <w:r w:rsidRPr="00CE79FD">
        <w:rPr>
          <w:rFonts w:ascii="Times New Roman" w:hAnsi="Times New Roman"/>
          <w:b/>
          <w:i/>
          <w:lang w:val="en-US"/>
        </w:rPr>
        <w:t>Effect of electric current</w:t>
      </w:r>
    </w:p>
    <w:p w14:paraId="71864CC6" w14:textId="2D708FC9" w:rsidR="00D30F7E" w:rsidRPr="00CE79FD" w:rsidRDefault="00CC1F89" w:rsidP="00D30F7E">
      <w:pPr>
        <w:pStyle w:val="Corpsdetexte"/>
        <w:rPr>
          <w:rFonts w:ascii="Times New Roman" w:hAnsi="Times New Roman"/>
          <w:sz w:val="22"/>
          <w:lang w:val="en-US"/>
        </w:rPr>
      </w:pPr>
      <w:r w:rsidRPr="00CE79FD">
        <w:rPr>
          <w:rFonts w:ascii="Times New Roman" w:hAnsi="Times New Roman"/>
          <w:lang w:val="en-US"/>
        </w:rPr>
        <w:t xml:space="preserve">There are many circumstances that can lead to an electrical fire. It is then helpful to reproduce those circumstances in laboratory conditions to duplicate real-life fire scenarios in order to increase knowledge and to develop safer and more fire-resistant materials and electrical systems. </w:t>
      </w:r>
      <w:r w:rsidR="008F503D" w:rsidRPr="00CE79FD">
        <w:rPr>
          <w:rFonts w:ascii="Times New Roman" w:hAnsi="Times New Roman"/>
          <w:lang w:val="en-US"/>
        </w:rPr>
        <w:t>T</w:t>
      </w:r>
      <w:r w:rsidR="00697AE7" w:rsidRPr="00CE79FD">
        <w:rPr>
          <w:rFonts w:ascii="Times New Roman" w:hAnsi="Times New Roman"/>
          <w:lang w:val="en-US"/>
        </w:rPr>
        <w:t>he electric current produces an overheated condition in the presence of some type of combustible material (e.g. polymeric materials constituting the jacket of the cable) and so, the decomposition and the fire behavior of the material can be modified. Moreover</w:t>
      </w:r>
      <w:r w:rsidR="008F503D" w:rsidRPr="00CE79FD">
        <w:rPr>
          <w:rFonts w:ascii="Times New Roman" w:hAnsi="Times New Roman"/>
          <w:lang w:val="en-US"/>
        </w:rPr>
        <w:t>,</w:t>
      </w:r>
      <w:r w:rsidR="00697AE7" w:rsidRPr="00CE79FD">
        <w:rPr>
          <w:rFonts w:ascii="Times New Roman" w:hAnsi="Times New Roman"/>
          <w:lang w:val="en-US"/>
        </w:rPr>
        <w:t xml:space="preserve"> a developing fire can produce an arcing event in the energized electrical cable. </w:t>
      </w:r>
      <w:r w:rsidR="008F503D" w:rsidRPr="00CE79FD">
        <w:rPr>
          <w:rFonts w:ascii="Times New Roman" w:hAnsi="Times New Roman"/>
          <w:lang w:val="en-US"/>
        </w:rPr>
        <w:t xml:space="preserve">A </w:t>
      </w:r>
      <w:r w:rsidR="00697AE7" w:rsidRPr="00CE79FD">
        <w:rPr>
          <w:rFonts w:ascii="Times New Roman" w:hAnsi="Times New Roman"/>
          <w:lang w:val="en-US"/>
        </w:rPr>
        <w:t xml:space="preserve">flame spread test was developed to investigate the flame spread of the polymer around </w:t>
      </w:r>
      <w:r w:rsidR="009A6DCB" w:rsidRPr="00CE79FD">
        <w:rPr>
          <w:rFonts w:ascii="Times New Roman" w:hAnsi="Times New Roman"/>
          <w:lang w:val="en-US"/>
        </w:rPr>
        <w:t>a copper</w:t>
      </w:r>
      <w:r w:rsidR="00697AE7" w:rsidRPr="00CE79FD">
        <w:rPr>
          <w:rFonts w:ascii="Times New Roman" w:hAnsi="Times New Roman"/>
          <w:lang w:val="en-US"/>
        </w:rPr>
        <w:t xml:space="preserve"> wire</w:t>
      </w:r>
      <w:r w:rsidR="009A6DCB" w:rsidRPr="00CE79FD">
        <w:rPr>
          <w:rFonts w:ascii="Times New Roman" w:hAnsi="Times New Roman"/>
          <w:lang w:val="en-US"/>
        </w:rPr>
        <w:t xml:space="preserve"> (an electric current up to 32 A can be delivered in the wire during the test)</w:t>
      </w:r>
      <w:r w:rsidR="00697AE7" w:rsidRPr="00CE79FD">
        <w:rPr>
          <w:rFonts w:ascii="Times New Roman" w:hAnsi="Times New Roman"/>
          <w:lang w:val="en-US"/>
        </w:rPr>
        <w:t>.</w:t>
      </w:r>
      <w:r w:rsidR="00D30F7E" w:rsidRPr="00CE79FD">
        <w:rPr>
          <w:rFonts w:ascii="Times New Roman" w:hAnsi="Times New Roman"/>
          <w:lang w:val="en-US"/>
        </w:rPr>
        <w:t xml:space="preserve"> </w:t>
      </w:r>
      <w:r w:rsidR="008F503D" w:rsidRPr="00CE79FD">
        <w:rPr>
          <w:rFonts w:ascii="Times New Roman" w:hAnsi="Times New Roman"/>
          <w:lang w:val="en-US"/>
        </w:rPr>
        <w:t xml:space="preserve">In this work, </w:t>
      </w:r>
      <w:r w:rsidR="009A6DCB" w:rsidRPr="00CE79FD">
        <w:rPr>
          <w:rFonts w:ascii="Times New Roman" w:hAnsi="Times New Roman"/>
          <w:lang w:val="en-US"/>
        </w:rPr>
        <w:t>e</w:t>
      </w:r>
      <w:r w:rsidR="008F503D" w:rsidRPr="00CE79FD">
        <w:rPr>
          <w:rFonts w:ascii="Times New Roman" w:hAnsi="Times New Roman"/>
          <w:lang w:val="en-US"/>
        </w:rPr>
        <w:t>thylene-vinyl acetate copolymer (EVA) containing aluminum trihydroxide (ATH) as flame retardant (FR) and hereafter calle</w:t>
      </w:r>
      <w:r w:rsidR="00517542">
        <w:rPr>
          <w:rFonts w:ascii="Times New Roman" w:hAnsi="Times New Roman"/>
          <w:lang w:val="en-US"/>
        </w:rPr>
        <w:t>d</w:t>
      </w:r>
      <w:r w:rsidR="008F503D" w:rsidRPr="00CE79FD">
        <w:rPr>
          <w:rFonts w:ascii="Times New Roman" w:hAnsi="Times New Roman"/>
          <w:lang w:val="en-US"/>
        </w:rPr>
        <w:t xml:space="preserve"> EVA/ATH, and EVA/ATH/Zinc borate (</w:t>
      </w:r>
      <w:proofErr w:type="spellStart"/>
      <w:r w:rsidR="008F503D" w:rsidRPr="00CE79FD">
        <w:rPr>
          <w:rFonts w:ascii="Times New Roman" w:hAnsi="Times New Roman"/>
          <w:lang w:val="en-US"/>
        </w:rPr>
        <w:t>BZn</w:t>
      </w:r>
      <w:proofErr w:type="spellEnd"/>
      <w:r w:rsidR="008F503D" w:rsidRPr="00CE79FD">
        <w:rPr>
          <w:rFonts w:ascii="Times New Roman" w:hAnsi="Times New Roman"/>
          <w:lang w:val="en-US"/>
        </w:rPr>
        <w:t xml:space="preserve">) </w:t>
      </w:r>
      <w:r w:rsidR="009A6DCB" w:rsidRPr="00CE79FD">
        <w:rPr>
          <w:rFonts w:ascii="Times New Roman" w:hAnsi="Times New Roman"/>
          <w:lang w:val="en-US"/>
        </w:rPr>
        <w:t>were</w:t>
      </w:r>
      <w:r w:rsidR="008F503D" w:rsidRPr="00CE79FD">
        <w:rPr>
          <w:rFonts w:ascii="Times New Roman" w:hAnsi="Times New Roman"/>
          <w:lang w:val="en-US"/>
        </w:rPr>
        <w:t xml:space="preserve"> selected as model systems mimicking formulations of cable sheath. </w:t>
      </w:r>
      <w:r w:rsidR="00D30F7E" w:rsidRPr="00CE79FD">
        <w:rPr>
          <w:rFonts w:ascii="Times New Roman" w:hAnsi="Times New Roman"/>
          <w:lang w:val="en-US"/>
        </w:rPr>
        <w:t>The materials were evaluated by our flame spread test in horizontal and vertical position (</w:t>
      </w:r>
      <w:r w:rsidR="00D30F7E" w:rsidRPr="00CE79FD">
        <w:rPr>
          <w:rFonts w:ascii="Times New Roman" w:hAnsi="Times New Roman"/>
        </w:rPr>
        <w:fldChar w:fldCharType="begin"/>
      </w:r>
      <w:r w:rsidR="00D30F7E" w:rsidRPr="00CE79FD">
        <w:rPr>
          <w:rFonts w:ascii="Times New Roman" w:hAnsi="Times New Roman"/>
          <w:lang w:val="en-US"/>
        </w:rPr>
        <w:instrText xml:space="preserve"> REF _Ref403322215 \h  \* MERGEFORMAT </w:instrText>
      </w:r>
      <w:r w:rsidR="00D30F7E" w:rsidRPr="00CE79FD">
        <w:rPr>
          <w:rFonts w:ascii="Times New Roman" w:hAnsi="Times New Roman"/>
        </w:rPr>
      </w:r>
      <w:r w:rsidR="00D30F7E" w:rsidRPr="00CE79FD">
        <w:rPr>
          <w:rFonts w:ascii="Times New Roman" w:hAnsi="Times New Roman"/>
        </w:rPr>
        <w:fldChar w:fldCharType="separate"/>
      </w:r>
      <w:r w:rsidR="008A14FB" w:rsidRPr="00CE79FD">
        <w:rPr>
          <w:rFonts w:ascii="Times New Roman" w:hAnsi="Times New Roman"/>
          <w:lang w:val="en-US"/>
        </w:rPr>
        <w:t xml:space="preserve">Figure </w:t>
      </w:r>
      <w:r w:rsidR="008A14FB" w:rsidRPr="00CE79FD">
        <w:rPr>
          <w:rFonts w:ascii="Times New Roman" w:hAnsi="Times New Roman"/>
          <w:noProof/>
          <w:lang w:val="en-US"/>
        </w:rPr>
        <w:t>1</w:t>
      </w:r>
      <w:r w:rsidR="00D30F7E" w:rsidRPr="00CE79FD">
        <w:rPr>
          <w:rFonts w:ascii="Times New Roman" w:hAnsi="Times New Roman"/>
        </w:rPr>
        <w:fldChar w:fldCharType="end"/>
      </w:r>
      <w:r w:rsidR="00D30F7E" w:rsidRPr="00CE79FD">
        <w:rPr>
          <w:rFonts w:ascii="Times New Roman" w:hAnsi="Times New Roman"/>
          <w:lang w:val="en-US"/>
        </w:rPr>
        <w:t>). The influence of the electric current at 32 A is only detected on virgin EVA in horizontal position on the propagation rate which jumps from 3 to 5 cm/min. In the vertical position, EVA ignites rapidly and the propagation along the simulated cable is too fast to be correctly estimated. In the case of the FR formulations, their fire behavior is similar and a protective ceramic is formed in the two cases. In the horizontal position, there is no ignition and hence no flame spread: the ceramic is formed where the burner is applied. In the vertical position, the protective ceramic is formed at the bottom of the simulated cable and because of heating, EVA melts causing a partial delamination of the plastic around the copper wire for the formulation without zinc borate while it is not observed with zinc borate. Once again, no flame spread is observed. According to this test, it is clearly evidenced the effect of the flame retardant in EVA and the benefit of incorporating zinc borate in</w:t>
      </w:r>
      <w:r w:rsidR="00D30F7E" w:rsidRPr="00CE79FD">
        <w:rPr>
          <w:rFonts w:ascii="Times New Roman" w:hAnsi="Times New Roman"/>
          <w:sz w:val="22"/>
          <w:lang w:val="en-US"/>
        </w:rPr>
        <w:t xml:space="preserve"> EVA/ATH.</w:t>
      </w:r>
    </w:p>
    <w:p w14:paraId="483C35B3" w14:textId="77777777" w:rsidR="00D30F7E" w:rsidRPr="00CE79FD" w:rsidRDefault="00D30F7E" w:rsidP="00D30F7E">
      <w:pPr>
        <w:pStyle w:val="Corpsdetexte"/>
        <w:rPr>
          <w:rFonts w:ascii="Times New Roman" w:hAnsi="Times New Roman"/>
          <w:sz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1544"/>
        <w:gridCol w:w="1566"/>
        <w:gridCol w:w="1502"/>
        <w:gridCol w:w="1511"/>
        <w:gridCol w:w="1501"/>
      </w:tblGrid>
      <w:tr w:rsidR="00D30F7E" w:rsidRPr="00CE79FD" w14:paraId="3E292B44" w14:textId="77777777" w:rsidTr="00FC78B8">
        <w:tc>
          <w:tcPr>
            <w:tcW w:w="1674" w:type="dxa"/>
          </w:tcPr>
          <w:p w14:paraId="48E4F1EA" w14:textId="77777777" w:rsidR="00D30F7E" w:rsidRPr="00CE79FD" w:rsidRDefault="00D30F7E" w:rsidP="004B32A8">
            <w:pPr>
              <w:jc w:val="center"/>
              <w:rPr>
                <w:i/>
                <w:sz w:val="22"/>
              </w:rPr>
            </w:pPr>
            <w:r w:rsidRPr="00CE79FD">
              <w:rPr>
                <w:i/>
                <w:sz w:val="22"/>
              </w:rPr>
              <w:t>Horizontal</w:t>
            </w:r>
          </w:p>
        </w:tc>
        <w:tc>
          <w:tcPr>
            <w:tcW w:w="1544" w:type="dxa"/>
            <w:tcBorders>
              <w:right w:val="single" w:sz="4" w:space="0" w:color="auto"/>
            </w:tcBorders>
          </w:tcPr>
          <w:p w14:paraId="12216857" w14:textId="77777777" w:rsidR="00D30F7E" w:rsidRPr="00CE79FD" w:rsidRDefault="00D30F7E" w:rsidP="004B32A8">
            <w:pPr>
              <w:jc w:val="center"/>
              <w:rPr>
                <w:i/>
                <w:sz w:val="22"/>
              </w:rPr>
            </w:pPr>
            <w:r w:rsidRPr="00CE79FD">
              <w:rPr>
                <w:i/>
                <w:sz w:val="22"/>
              </w:rPr>
              <w:t>Vertical</w:t>
            </w:r>
          </w:p>
        </w:tc>
        <w:tc>
          <w:tcPr>
            <w:tcW w:w="1566" w:type="dxa"/>
            <w:tcBorders>
              <w:left w:val="single" w:sz="4" w:space="0" w:color="auto"/>
            </w:tcBorders>
          </w:tcPr>
          <w:p w14:paraId="26AC8C47" w14:textId="77777777" w:rsidR="00D30F7E" w:rsidRPr="00CE79FD" w:rsidRDefault="00D30F7E" w:rsidP="004B32A8">
            <w:pPr>
              <w:jc w:val="center"/>
              <w:rPr>
                <w:i/>
                <w:sz w:val="22"/>
              </w:rPr>
            </w:pPr>
            <w:r w:rsidRPr="00CE79FD">
              <w:rPr>
                <w:i/>
                <w:sz w:val="22"/>
              </w:rPr>
              <w:t>Horizontal</w:t>
            </w:r>
          </w:p>
        </w:tc>
        <w:tc>
          <w:tcPr>
            <w:tcW w:w="1502" w:type="dxa"/>
            <w:tcBorders>
              <w:right w:val="single" w:sz="4" w:space="0" w:color="auto"/>
            </w:tcBorders>
          </w:tcPr>
          <w:p w14:paraId="448E3BE3" w14:textId="77777777" w:rsidR="00D30F7E" w:rsidRPr="00CE79FD" w:rsidRDefault="00D30F7E" w:rsidP="004B32A8">
            <w:pPr>
              <w:jc w:val="center"/>
              <w:rPr>
                <w:i/>
                <w:sz w:val="22"/>
              </w:rPr>
            </w:pPr>
            <w:r w:rsidRPr="00CE79FD">
              <w:rPr>
                <w:i/>
                <w:sz w:val="22"/>
              </w:rPr>
              <w:t>Vertical</w:t>
            </w:r>
          </w:p>
        </w:tc>
        <w:tc>
          <w:tcPr>
            <w:tcW w:w="1511" w:type="dxa"/>
            <w:tcBorders>
              <w:left w:val="single" w:sz="4" w:space="0" w:color="auto"/>
            </w:tcBorders>
          </w:tcPr>
          <w:p w14:paraId="1F9C40DE" w14:textId="77777777" w:rsidR="00D30F7E" w:rsidRPr="00CE79FD" w:rsidRDefault="00D30F7E" w:rsidP="004B32A8">
            <w:pPr>
              <w:jc w:val="center"/>
              <w:rPr>
                <w:i/>
                <w:sz w:val="22"/>
              </w:rPr>
            </w:pPr>
            <w:r w:rsidRPr="00CE79FD">
              <w:rPr>
                <w:i/>
                <w:sz w:val="22"/>
              </w:rPr>
              <w:t>Horizontal</w:t>
            </w:r>
          </w:p>
        </w:tc>
        <w:tc>
          <w:tcPr>
            <w:tcW w:w="1501" w:type="dxa"/>
          </w:tcPr>
          <w:p w14:paraId="4871507A" w14:textId="77777777" w:rsidR="00D30F7E" w:rsidRPr="00CE79FD" w:rsidRDefault="00D30F7E" w:rsidP="004B32A8">
            <w:pPr>
              <w:jc w:val="center"/>
              <w:rPr>
                <w:i/>
                <w:sz w:val="22"/>
              </w:rPr>
            </w:pPr>
            <w:r w:rsidRPr="00CE79FD">
              <w:rPr>
                <w:i/>
                <w:sz w:val="22"/>
              </w:rPr>
              <w:t>Vertical</w:t>
            </w:r>
          </w:p>
        </w:tc>
      </w:tr>
      <w:tr w:rsidR="00D30F7E" w:rsidRPr="00CE79FD" w14:paraId="42E81C1C" w14:textId="77777777" w:rsidTr="00FC78B8">
        <w:tc>
          <w:tcPr>
            <w:tcW w:w="1674" w:type="dxa"/>
          </w:tcPr>
          <w:p w14:paraId="4C6DAC77" w14:textId="77777777" w:rsidR="00D30F7E" w:rsidRPr="00CE79FD" w:rsidRDefault="00D30F7E" w:rsidP="004B32A8">
            <w:pPr>
              <w:jc w:val="center"/>
              <w:rPr>
                <w:noProof/>
                <w:sz w:val="22"/>
              </w:rPr>
            </w:pPr>
          </w:p>
          <w:p w14:paraId="267E2620" w14:textId="77777777" w:rsidR="00D30F7E" w:rsidRPr="00CE79FD" w:rsidRDefault="00D30F7E" w:rsidP="004B32A8">
            <w:pPr>
              <w:jc w:val="center"/>
              <w:rPr>
                <w:sz w:val="22"/>
              </w:rPr>
            </w:pPr>
            <w:r w:rsidRPr="00CE79FD">
              <w:rPr>
                <w:noProof/>
                <w:sz w:val="22"/>
              </w:rPr>
              <w:drawing>
                <wp:inline distT="0" distB="0" distL="0" distR="0" wp14:anchorId="75251DC1" wp14:editId="2BF35B3E">
                  <wp:extent cx="926308" cy="18803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637" cy="1897228"/>
                          </a:xfrm>
                          <a:prstGeom prst="rect">
                            <a:avLst/>
                          </a:prstGeom>
                          <a:noFill/>
                          <a:ln>
                            <a:noFill/>
                          </a:ln>
                        </pic:spPr>
                      </pic:pic>
                    </a:graphicData>
                  </a:graphic>
                </wp:inline>
              </w:drawing>
            </w:r>
          </w:p>
        </w:tc>
        <w:tc>
          <w:tcPr>
            <w:tcW w:w="1544" w:type="dxa"/>
            <w:tcBorders>
              <w:right w:val="single" w:sz="4" w:space="0" w:color="auto"/>
            </w:tcBorders>
          </w:tcPr>
          <w:p w14:paraId="50896BBF" w14:textId="77777777" w:rsidR="00D30F7E" w:rsidRPr="00CE79FD" w:rsidRDefault="00D30F7E" w:rsidP="004B32A8">
            <w:pPr>
              <w:jc w:val="center"/>
              <w:rPr>
                <w:sz w:val="22"/>
              </w:rPr>
            </w:pPr>
            <w:r w:rsidRPr="00CE79FD">
              <w:rPr>
                <w:noProof/>
                <w:sz w:val="22"/>
              </w:rPr>
              <w:drawing>
                <wp:inline distT="0" distB="0" distL="0" distR="0" wp14:anchorId="3200232E" wp14:editId="4A526464">
                  <wp:extent cx="843882" cy="1958517"/>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703" cy="1985953"/>
                          </a:xfrm>
                          <a:prstGeom prst="rect">
                            <a:avLst/>
                          </a:prstGeom>
                          <a:noFill/>
                          <a:ln>
                            <a:noFill/>
                          </a:ln>
                        </pic:spPr>
                      </pic:pic>
                    </a:graphicData>
                  </a:graphic>
                </wp:inline>
              </w:drawing>
            </w:r>
          </w:p>
        </w:tc>
        <w:tc>
          <w:tcPr>
            <w:tcW w:w="1566" w:type="dxa"/>
            <w:tcBorders>
              <w:left w:val="single" w:sz="4" w:space="0" w:color="auto"/>
            </w:tcBorders>
          </w:tcPr>
          <w:p w14:paraId="42F75B39" w14:textId="77777777" w:rsidR="00D30F7E" w:rsidRPr="00CE79FD" w:rsidRDefault="00D30F7E" w:rsidP="004B32A8">
            <w:pPr>
              <w:jc w:val="center"/>
              <w:rPr>
                <w:noProof/>
                <w:sz w:val="22"/>
              </w:rPr>
            </w:pPr>
          </w:p>
          <w:p w14:paraId="26737592" w14:textId="77777777" w:rsidR="00D30F7E" w:rsidRPr="00CE79FD" w:rsidRDefault="00D30F7E" w:rsidP="004B32A8">
            <w:pPr>
              <w:jc w:val="center"/>
              <w:rPr>
                <w:noProof/>
                <w:sz w:val="22"/>
              </w:rPr>
            </w:pPr>
          </w:p>
          <w:p w14:paraId="3672300A" w14:textId="77777777" w:rsidR="00D30F7E" w:rsidRPr="00CE79FD" w:rsidRDefault="00D30F7E" w:rsidP="004B32A8">
            <w:pPr>
              <w:jc w:val="center"/>
              <w:rPr>
                <w:noProof/>
                <w:sz w:val="22"/>
              </w:rPr>
            </w:pPr>
          </w:p>
          <w:p w14:paraId="55A9CCD8" w14:textId="77777777" w:rsidR="00D30F7E" w:rsidRPr="00CE79FD" w:rsidRDefault="00D30F7E" w:rsidP="004B32A8">
            <w:pPr>
              <w:jc w:val="center"/>
              <w:rPr>
                <w:noProof/>
                <w:sz w:val="22"/>
              </w:rPr>
            </w:pPr>
          </w:p>
          <w:p w14:paraId="6E2452CF" w14:textId="77777777" w:rsidR="00D30F7E" w:rsidRPr="00CE79FD" w:rsidRDefault="00D30F7E" w:rsidP="004B32A8">
            <w:pPr>
              <w:jc w:val="center"/>
              <w:rPr>
                <w:sz w:val="22"/>
              </w:rPr>
            </w:pPr>
            <w:r w:rsidRPr="00CE79FD">
              <w:rPr>
                <w:noProof/>
                <w:sz w:val="22"/>
              </w:rPr>
              <w:drawing>
                <wp:inline distT="0" distB="0" distL="0" distR="0" wp14:anchorId="55E23182" wp14:editId="6192389E">
                  <wp:extent cx="855601" cy="883835"/>
                  <wp:effectExtent l="0" t="0" r="190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757" cy="886062"/>
                          </a:xfrm>
                          <a:prstGeom prst="rect">
                            <a:avLst/>
                          </a:prstGeom>
                          <a:noFill/>
                          <a:ln>
                            <a:noFill/>
                          </a:ln>
                        </pic:spPr>
                      </pic:pic>
                    </a:graphicData>
                  </a:graphic>
                </wp:inline>
              </w:drawing>
            </w:r>
          </w:p>
        </w:tc>
        <w:tc>
          <w:tcPr>
            <w:tcW w:w="1502" w:type="dxa"/>
            <w:tcBorders>
              <w:right w:val="single" w:sz="4" w:space="0" w:color="auto"/>
            </w:tcBorders>
          </w:tcPr>
          <w:p w14:paraId="0289AEF6" w14:textId="77777777" w:rsidR="00D30F7E" w:rsidRPr="00CE79FD" w:rsidRDefault="00D30F7E" w:rsidP="004B32A8">
            <w:pPr>
              <w:jc w:val="center"/>
              <w:rPr>
                <w:sz w:val="22"/>
              </w:rPr>
            </w:pPr>
            <w:r w:rsidRPr="00CE79FD">
              <w:rPr>
                <w:noProof/>
                <w:sz w:val="22"/>
              </w:rPr>
              <w:drawing>
                <wp:inline distT="0" distB="0" distL="0" distR="0" wp14:anchorId="4192F0EC" wp14:editId="3D315A50">
                  <wp:extent cx="720090" cy="1969150"/>
                  <wp:effectExtent l="0" t="0" r="381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5449" cy="1983804"/>
                          </a:xfrm>
                          <a:prstGeom prst="rect">
                            <a:avLst/>
                          </a:prstGeom>
                          <a:noFill/>
                          <a:ln>
                            <a:noFill/>
                          </a:ln>
                        </pic:spPr>
                      </pic:pic>
                    </a:graphicData>
                  </a:graphic>
                </wp:inline>
              </w:drawing>
            </w:r>
          </w:p>
        </w:tc>
        <w:tc>
          <w:tcPr>
            <w:tcW w:w="1511" w:type="dxa"/>
            <w:tcBorders>
              <w:left w:val="single" w:sz="4" w:space="0" w:color="auto"/>
            </w:tcBorders>
          </w:tcPr>
          <w:p w14:paraId="7709CC3C" w14:textId="77777777" w:rsidR="00D30F7E" w:rsidRPr="00CE79FD" w:rsidRDefault="00D30F7E" w:rsidP="004B32A8">
            <w:pPr>
              <w:jc w:val="center"/>
              <w:rPr>
                <w:sz w:val="22"/>
              </w:rPr>
            </w:pPr>
          </w:p>
          <w:p w14:paraId="4DED14D5" w14:textId="77777777" w:rsidR="00D30F7E" w:rsidRPr="00CE79FD" w:rsidRDefault="00D30F7E" w:rsidP="004B32A8">
            <w:pPr>
              <w:jc w:val="center"/>
              <w:rPr>
                <w:sz w:val="22"/>
              </w:rPr>
            </w:pPr>
          </w:p>
          <w:p w14:paraId="1B4503AD" w14:textId="77777777" w:rsidR="00D30F7E" w:rsidRPr="00CE79FD" w:rsidRDefault="00D30F7E" w:rsidP="004B32A8">
            <w:pPr>
              <w:jc w:val="center"/>
              <w:rPr>
                <w:sz w:val="22"/>
              </w:rPr>
            </w:pPr>
          </w:p>
          <w:p w14:paraId="41AAC496" w14:textId="77777777" w:rsidR="00D30F7E" w:rsidRPr="00CE79FD" w:rsidRDefault="00D30F7E" w:rsidP="004B32A8">
            <w:pPr>
              <w:jc w:val="center"/>
              <w:rPr>
                <w:sz w:val="22"/>
              </w:rPr>
            </w:pPr>
          </w:p>
          <w:p w14:paraId="4F4485EF" w14:textId="77777777" w:rsidR="00D30F7E" w:rsidRPr="00CE79FD" w:rsidRDefault="00D30F7E" w:rsidP="004B32A8">
            <w:pPr>
              <w:jc w:val="center"/>
              <w:rPr>
                <w:sz w:val="22"/>
              </w:rPr>
            </w:pPr>
            <w:r w:rsidRPr="00CE79FD">
              <w:rPr>
                <w:noProof/>
                <w:sz w:val="22"/>
              </w:rPr>
              <w:drawing>
                <wp:inline distT="0" distB="0" distL="0" distR="0" wp14:anchorId="29627AF7" wp14:editId="42142FA5">
                  <wp:extent cx="822705" cy="1003634"/>
                  <wp:effectExtent l="0" t="0" r="0" b="63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939" cy="1007580"/>
                          </a:xfrm>
                          <a:prstGeom prst="rect">
                            <a:avLst/>
                          </a:prstGeom>
                          <a:noFill/>
                          <a:ln>
                            <a:noFill/>
                          </a:ln>
                        </pic:spPr>
                      </pic:pic>
                    </a:graphicData>
                  </a:graphic>
                </wp:inline>
              </w:drawing>
            </w:r>
          </w:p>
        </w:tc>
        <w:tc>
          <w:tcPr>
            <w:tcW w:w="1501" w:type="dxa"/>
          </w:tcPr>
          <w:p w14:paraId="12D2FAB1" w14:textId="77777777" w:rsidR="00D30F7E" w:rsidRPr="00CE79FD" w:rsidRDefault="00D30F7E" w:rsidP="004B32A8">
            <w:pPr>
              <w:jc w:val="center"/>
              <w:rPr>
                <w:sz w:val="22"/>
              </w:rPr>
            </w:pPr>
            <w:r w:rsidRPr="00CE79FD">
              <w:rPr>
                <w:noProof/>
                <w:sz w:val="22"/>
              </w:rPr>
              <w:drawing>
                <wp:inline distT="0" distB="0" distL="0" distR="0" wp14:anchorId="1B74A596" wp14:editId="65011A65">
                  <wp:extent cx="564087" cy="2005155"/>
                  <wp:effectExtent l="0" t="0" r="762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198" cy="2137072"/>
                          </a:xfrm>
                          <a:prstGeom prst="rect">
                            <a:avLst/>
                          </a:prstGeom>
                          <a:noFill/>
                          <a:ln>
                            <a:noFill/>
                          </a:ln>
                        </pic:spPr>
                      </pic:pic>
                    </a:graphicData>
                  </a:graphic>
                </wp:inline>
              </w:drawing>
            </w:r>
          </w:p>
        </w:tc>
      </w:tr>
      <w:tr w:rsidR="00D30F7E" w:rsidRPr="00CE79FD" w14:paraId="45DA639B" w14:textId="77777777" w:rsidTr="00FC78B8">
        <w:tc>
          <w:tcPr>
            <w:tcW w:w="3218" w:type="dxa"/>
            <w:gridSpan w:val="2"/>
            <w:tcBorders>
              <w:right w:val="single" w:sz="4" w:space="0" w:color="auto"/>
            </w:tcBorders>
          </w:tcPr>
          <w:p w14:paraId="5D8B46C5" w14:textId="77777777" w:rsidR="00D30F7E" w:rsidRPr="00CE79FD" w:rsidRDefault="00D30F7E" w:rsidP="004B32A8">
            <w:pPr>
              <w:jc w:val="center"/>
              <w:rPr>
                <w:sz w:val="22"/>
              </w:rPr>
            </w:pPr>
            <w:r w:rsidRPr="00CE79FD">
              <w:rPr>
                <w:sz w:val="22"/>
              </w:rPr>
              <w:t>EVA</w:t>
            </w:r>
          </w:p>
        </w:tc>
        <w:tc>
          <w:tcPr>
            <w:tcW w:w="3068" w:type="dxa"/>
            <w:gridSpan w:val="2"/>
            <w:tcBorders>
              <w:left w:val="single" w:sz="4" w:space="0" w:color="auto"/>
              <w:right w:val="single" w:sz="4" w:space="0" w:color="auto"/>
            </w:tcBorders>
          </w:tcPr>
          <w:p w14:paraId="4326E349" w14:textId="77777777" w:rsidR="00D30F7E" w:rsidRPr="00CE79FD" w:rsidRDefault="00D30F7E" w:rsidP="004B32A8">
            <w:pPr>
              <w:jc w:val="center"/>
              <w:rPr>
                <w:sz w:val="22"/>
              </w:rPr>
            </w:pPr>
            <w:r w:rsidRPr="00CE79FD">
              <w:rPr>
                <w:sz w:val="22"/>
              </w:rPr>
              <w:t>EVA/ATH</w:t>
            </w:r>
          </w:p>
        </w:tc>
        <w:tc>
          <w:tcPr>
            <w:tcW w:w="3012" w:type="dxa"/>
            <w:gridSpan w:val="2"/>
            <w:tcBorders>
              <w:left w:val="single" w:sz="4" w:space="0" w:color="auto"/>
            </w:tcBorders>
          </w:tcPr>
          <w:p w14:paraId="45EA3AB1" w14:textId="77777777" w:rsidR="00D30F7E" w:rsidRPr="00CE79FD" w:rsidRDefault="00D30F7E" w:rsidP="004B32A8">
            <w:pPr>
              <w:jc w:val="center"/>
              <w:rPr>
                <w:sz w:val="22"/>
              </w:rPr>
            </w:pPr>
            <w:r w:rsidRPr="00CE79FD">
              <w:rPr>
                <w:sz w:val="22"/>
              </w:rPr>
              <w:t>EVA/ATH/</w:t>
            </w:r>
            <w:proofErr w:type="spellStart"/>
            <w:r w:rsidRPr="00CE79FD">
              <w:rPr>
                <w:sz w:val="22"/>
              </w:rPr>
              <w:t>BZn</w:t>
            </w:r>
            <w:proofErr w:type="spellEnd"/>
          </w:p>
        </w:tc>
      </w:tr>
    </w:tbl>
    <w:p w14:paraId="662BF9D6" w14:textId="77777777" w:rsidR="00253F39" w:rsidRPr="00CE79FD" w:rsidRDefault="00253F39" w:rsidP="00284629">
      <w:pPr>
        <w:pStyle w:val="Corpsdetexte"/>
        <w:rPr>
          <w:rFonts w:ascii="Times New Roman" w:hAnsi="Times New Roman"/>
          <w:lang w:val="en-US"/>
        </w:rPr>
      </w:pPr>
    </w:p>
    <w:p w14:paraId="401C805A" w14:textId="77777777" w:rsidR="00FF3AA1" w:rsidRPr="00CE79FD" w:rsidRDefault="00D30F7E" w:rsidP="00B35533">
      <w:pPr>
        <w:pStyle w:val="Body"/>
        <w:spacing w:after="0"/>
        <w:contextualSpacing/>
        <w:jc w:val="center"/>
        <w:rPr>
          <w:rFonts w:ascii="Times New Roman" w:hAnsi="Times New Roman"/>
          <w:lang w:eastAsia="zh-CN"/>
        </w:rPr>
      </w:pPr>
      <w:bookmarkStart w:id="0" w:name="_Ref403322215"/>
      <w:r w:rsidRPr="00CE79FD">
        <w:rPr>
          <w:rFonts w:ascii="Times New Roman" w:hAnsi="Times New Roman"/>
          <w:b/>
        </w:rPr>
        <w:t xml:space="preserve">Figure </w:t>
      </w:r>
      <w:r w:rsidRPr="00CE79FD">
        <w:rPr>
          <w:rFonts w:ascii="Times New Roman" w:hAnsi="Times New Roman"/>
          <w:b/>
        </w:rPr>
        <w:fldChar w:fldCharType="begin"/>
      </w:r>
      <w:r w:rsidRPr="00CE79FD">
        <w:rPr>
          <w:rFonts w:ascii="Times New Roman" w:hAnsi="Times New Roman"/>
          <w:b/>
        </w:rPr>
        <w:instrText xml:space="preserve"> SEQ Figure \* ARABIC </w:instrText>
      </w:r>
      <w:r w:rsidRPr="00CE79FD">
        <w:rPr>
          <w:rFonts w:ascii="Times New Roman" w:hAnsi="Times New Roman"/>
          <w:b/>
        </w:rPr>
        <w:fldChar w:fldCharType="separate"/>
      </w:r>
      <w:r w:rsidR="008A14FB" w:rsidRPr="00CE79FD">
        <w:rPr>
          <w:rFonts w:ascii="Times New Roman" w:hAnsi="Times New Roman"/>
          <w:b/>
          <w:noProof/>
        </w:rPr>
        <w:t>1</w:t>
      </w:r>
      <w:r w:rsidRPr="00CE79FD">
        <w:rPr>
          <w:rFonts w:ascii="Times New Roman" w:hAnsi="Times New Roman"/>
          <w:b/>
        </w:rPr>
        <w:fldChar w:fldCharType="end"/>
      </w:r>
      <w:bookmarkEnd w:id="0"/>
      <w:r w:rsidR="00FC78B8">
        <w:rPr>
          <w:rFonts w:ascii="Times New Roman" w:hAnsi="Times New Roman"/>
          <w:b/>
        </w:rPr>
        <w:t>.</w:t>
      </w:r>
      <w:r w:rsidRPr="00CE79FD">
        <w:rPr>
          <w:rFonts w:ascii="Times New Roman" w:hAnsi="Times New Roman"/>
        </w:rPr>
        <w:t xml:space="preserve"> Flame spread tests of EVA and FR EVA in horizontal and in vertical position with and without electrical current</w:t>
      </w:r>
    </w:p>
    <w:p w14:paraId="2074CEF8" w14:textId="77777777" w:rsidR="00FE352F" w:rsidRPr="00CE79FD" w:rsidRDefault="00FE352F" w:rsidP="0031571F">
      <w:pPr>
        <w:pStyle w:val="Body"/>
        <w:spacing w:after="0"/>
        <w:contextualSpacing/>
        <w:rPr>
          <w:rFonts w:ascii="Times New Roman" w:hAnsi="Times New Roman"/>
          <w:b/>
          <w:sz w:val="24"/>
          <w:szCs w:val="24"/>
          <w:lang w:eastAsia="zh-CN"/>
        </w:rPr>
      </w:pPr>
    </w:p>
    <w:p w14:paraId="3C34C481" w14:textId="77777777" w:rsidR="00B25DE7" w:rsidRPr="00CE79FD" w:rsidRDefault="00B25DE7" w:rsidP="00B25DE7">
      <w:pPr>
        <w:pStyle w:val="Corpsdetexte"/>
        <w:numPr>
          <w:ilvl w:val="0"/>
          <w:numId w:val="1"/>
        </w:numPr>
        <w:rPr>
          <w:rFonts w:ascii="Times New Roman" w:hAnsi="Times New Roman"/>
          <w:b/>
          <w:i/>
          <w:lang w:val="en-US"/>
        </w:rPr>
      </w:pPr>
      <w:r w:rsidRPr="00CE79FD">
        <w:rPr>
          <w:rFonts w:ascii="Times New Roman" w:hAnsi="Times New Roman"/>
          <w:b/>
          <w:i/>
          <w:lang w:val="en-US"/>
        </w:rPr>
        <w:t>Intumescent polymers in extreme fire conditions</w:t>
      </w:r>
    </w:p>
    <w:p w14:paraId="4F635C7C" w14:textId="5248D65A" w:rsidR="00B25DE7" w:rsidRPr="00CE79FD" w:rsidRDefault="00C67DB5" w:rsidP="0031571F">
      <w:pPr>
        <w:pStyle w:val="Body"/>
        <w:spacing w:after="0"/>
        <w:contextualSpacing/>
        <w:rPr>
          <w:rFonts w:ascii="Times New Roman" w:hAnsi="Times New Roman"/>
          <w:sz w:val="24"/>
          <w:szCs w:val="24"/>
          <w:lang w:eastAsia="zh-CN"/>
        </w:rPr>
      </w:pPr>
      <w:r w:rsidRPr="00CE79FD">
        <w:rPr>
          <w:rFonts w:ascii="Times New Roman" w:hAnsi="Times New Roman"/>
          <w:sz w:val="24"/>
          <w:szCs w:val="24"/>
          <w:lang w:eastAsia="zh-CN"/>
        </w:rPr>
        <w:t>Intumescent thermoplastics are not used in the case of resistance to fire, i.e. in fire scenarios corresponding to burn-through, jetfire or structural response to fire. Indeed, they are not designed for this because they soften upon heating and fire can spread out. However, intumescent coatings applied on steel or composite act as efficient fire barrier</w:t>
      </w:r>
      <w:r w:rsidR="008A14FB" w:rsidRPr="00CE79FD">
        <w:rPr>
          <w:rFonts w:ascii="Times New Roman" w:hAnsi="Times New Roman"/>
          <w:sz w:val="24"/>
          <w:szCs w:val="24"/>
          <w:lang w:eastAsia="zh-CN"/>
        </w:rPr>
        <w:t xml:space="preserve">. In this part, the fire behavior of </w:t>
      </w:r>
      <w:r w:rsidR="00B25DE7" w:rsidRPr="00CE79FD">
        <w:rPr>
          <w:rFonts w:ascii="Times New Roman" w:hAnsi="Times New Roman"/>
          <w:sz w:val="24"/>
          <w:szCs w:val="24"/>
          <w:lang w:eastAsia="zh-CN"/>
        </w:rPr>
        <w:t>intumescent polypropylene (PP) undergoing extreme fire (burn-through test</w:t>
      </w:r>
      <w:r w:rsidR="008A14FB" w:rsidRPr="00CE79FD">
        <w:rPr>
          <w:rFonts w:ascii="Times New Roman" w:hAnsi="Times New Roman"/>
          <w:sz w:val="24"/>
          <w:szCs w:val="24"/>
          <w:lang w:eastAsia="zh-CN"/>
        </w:rPr>
        <w:t xml:space="preserve"> at reduced scale designed to deliver</w:t>
      </w:r>
      <w:r w:rsidR="00B25DE7" w:rsidRPr="00CE79FD">
        <w:rPr>
          <w:rFonts w:ascii="Times New Roman" w:hAnsi="Times New Roman"/>
          <w:sz w:val="24"/>
          <w:szCs w:val="24"/>
          <w:lang w:eastAsia="zh-CN"/>
        </w:rPr>
        <w:t xml:space="preserve"> heat flux higher than 100 kW/m²)</w:t>
      </w:r>
      <w:r w:rsidR="008A14FB" w:rsidRPr="00CE79FD">
        <w:rPr>
          <w:rFonts w:ascii="Times New Roman" w:hAnsi="Times New Roman"/>
          <w:sz w:val="24"/>
          <w:szCs w:val="24"/>
          <w:lang w:eastAsia="zh-CN"/>
        </w:rPr>
        <w:t xml:space="preserve"> is examined</w:t>
      </w:r>
      <w:r w:rsidR="00B25DE7" w:rsidRPr="00CE79FD">
        <w:rPr>
          <w:rFonts w:ascii="Times New Roman" w:hAnsi="Times New Roman"/>
          <w:sz w:val="24"/>
          <w:szCs w:val="24"/>
          <w:lang w:eastAsia="zh-CN"/>
        </w:rPr>
        <w:t xml:space="preserve">. The purpose of this unusual approach is to explore the possibility to design intumescent plastic (here PP) resisting to burn-through test. A combination of commercial intumescent flame retardants (ammonium polyphosphate-based compounds containing a char former; AP766 (AP) and FlameOff (FO) with </w:t>
      </w:r>
      <w:bookmarkStart w:id="1" w:name="_GoBack"/>
      <w:r w:rsidR="00B25DE7" w:rsidRPr="00CE79FD">
        <w:rPr>
          <w:rFonts w:ascii="Times New Roman" w:hAnsi="Times New Roman"/>
          <w:sz w:val="24"/>
          <w:szCs w:val="24"/>
          <w:lang w:eastAsia="zh-CN"/>
        </w:rPr>
        <w:t xml:space="preserve">zinc borate or Kemgard (combination of </w:t>
      </w:r>
      <w:proofErr w:type="spellStart"/>
      <w:r w:rsidR="00BE4D7C">
        <w:rPr>
          <w:rFonts w:ascii="Times New Roman" w:hAnsi="Times New Roman"/>
          <w:sz w:val="24"/>
          <w:szCs w:val="24"/>
          <w:lang w:eastAsia="zh-CN"/>
        </w:rPr>
        <w:t>BZn</w:t>
      </w:r>
      <w:proofErr w:type="spellEnd"/>
      <w:r w:rsidR="00B25DE7" w:rsidRPr="00CE79FD">
        <w:rPr>
          <w:rFonts w:ascii="Times New Roman" w:hAnsi="Times New Roman"/>
          <w:sz w:val="24"/>
          <w:szCs w:val="24"/>
          <w:lang w:eastAsia="zh-CN"/>
        </w:rPr>
        <w:t xml:space="preserve"> and molybdate</w:t>
      </w:r>
      <w:r w:rsidR="00440171">
        <w:rPr>
          <w:rFonts w:ascii="Times New Roman" w:hAnsi="Times New Roman"/>
          <w:sz w:val="24"/>
          <w:szCs w:val="24"/>
          <w:lang w:eastAsia="zh-CN"/>
        </w:rPr>
        <w:t>; KZ</w:t>
      </w:r>
      <w:r w:rsidR="00B25DE7" w:rsidRPr="00CE79FD">
        <w:rPr>
          <w:rFonts w:ascii="Times New Roman" w:hAnsi="Times New Roman"/>
          <w:sz w:val="24"/>
          <w:szCs w:val="24"/>
          <w:lang w:eastAsia="zh-CN"/>
        </w:rPr>
        <w:t>)</w:t>
      </w:r>
      <w:r w:rsidR="001518C0">
        <w:rPr>
          <w:rFonts w:ascii="Times New Roman" w:hAnsi="Times New Roman"/>
          <w:sz w:val="24"/>
          <w:szCs w:val="24"/>
          <w:lang w:eastAsia="zh-CN"/>
        </w:rPr>
        <w:t>)</w:t>
      </w:r>
      <w:r w:rsidR="00B25DE7" w:rsidRPr="00CE79FD">
        <w:rPr>
          <w:rFonts w:ascii="Times New Roman" w:hAnsi="Times New Roman"/>
          <w:sz w:val="24"/>
          <w:szCs w:val="24"/>
          <w:lang w:eastAsia="zh-CN"/>
        </w:rPr>
        <w:t xml:space="preserve"> was incorporated in PP. The use of </w:t>
      </w:r>
      <w:proofErr w:type="spellStart"/>
      <w:r w:rsidR="00370193">
        <w:rPr>
          <w:rFonts w:ascii="Times New Roman" w:hAnsi="Times New Roman"/>
          <w:sz w:val="24"/>
          <w:szCs w:val="24"/>
          <w:lang w:eastAsia="zh-CN"/>
        </w:rPr>
        <w:t>BZn</w:t>
      </w:r>
      <w:proofErr w:type="spellEnd"/>
      <w:r w:rsidR="00B25DE7" w:rsidRPr="00CE79FD">
        <w:rPr>
          <w:rFonts w:ascii="Times New Roman" w:hAnsi="Times New Roman"/>
          <w:sz w:val="24"/>
          <w:szCs w:val="24"/>
          <w:lang w:eastAsia="zh-CN"/>
        </w:rPr>
        <w:t xml:space="preserve"> and KZ as synergists in FO formulations increases dramatically the time of piercing at the burn-through test (heat flux = 116 kW/m², propane burner) from 80 s without </w:t>
      </w:r>
      <w:proofErr w:type="spellStart"/>
      <w:r w:rsidR="00BE4D7C">
        <w:rPr>
          <w:rFonts w:ascii="Times New Roman" w:hAnsi="Times New Roman"/>
          <w:sz w:val="24"/>
          <w:szCs w:val="24"/>
          <w:lang w:eastAsia="zh-CN"/>
        </w:rPr>
        <w:t>BZn</w:t>
      </w:r>
      <w:proofErr w:type="spellEnd"/>
      <w:r w:rsidR="00B25DE7" w:rsidRPr="00CE79FD">
        <w:rPr>
          <w:rFonts w:ascii="Times New Roman" w:hAnsi="Times New Roman"/>
          <w:sz w:val="24"/>
          <w:szCs w:val="24"/>
          <w:lang w:eastAsia="zh-CN"/>
        </w:rPr>
        <w:t xml:space="preserve"> or KZ up to 280 s with KZ while the combination with AP does not show any benefit. Chemical analyses of the residues obtained at different times of combustion by solid state nuclear magnetic resonance (NMR) of </w:t>
      </w:r>
      <w:r w:rsidR="00B25DE7" w:rsidRPr="00CE79FD">
        <w:rPr>
          <w:rFonts w:ascii="Times New Roman" w:hAnsi="Times New Roman"/>
          <w:sz w:val="24"/>
          <w:szCs w:val="24"/>
          <w:vertAlign w:val="superscript"/>
          <w:lang w:eastAsia="zh-CN"/>
        </w:rPr>
        <w:t>31</w:t>
      </w:r>
      <w:r w:rsidR="00B25DE7" w:rsidRPr="00CE79FD">
        <w:rPr>
          <w:rFonts w:ascii="Times New Roman" w:hAnsi="Times New Roman"/>
          <w:sz w:val="24"/>
          <w:szCs w:val="24"/>
          <w:lang w:eastAsia="zh-CN"/>
        </w:rPr>
        <w:t xml:space="preserve">P, </w:t>
      </w:r>
      <w:r w:rsidR="00B25DE7" w:rsidRPr="00CE79FD">
        <w:rPr>
          <w:rFonts w:ascii="Times New Roman" w:hAnsi="Times New Roman"/>
          <w:sz w:val="24"/>
          <w:szCs w:val="24"/>
          <w:vertAlign w:val="superscript"/>
          <w:lang w:eastAsia="zh-CN"/>
        </w:rPr>
        <w:t>11</w:t>
      </w:r>
      <w:r w:rsidR="00B25DE7" w:rsidRPr="00CE79FD">
        <w:rPr>
          <w:rFonts w:ascii="Times New Roman" w:hAnsi="Times New Roman"/>
          <w:sz w:val="24"/>
          <w:szCs w:val="24"/>
          <w:lang w:eastAsia="zh-CN"/>
        </w:rPr>
        <w:t xml:space="preserve">B and </w:t>
      </w:r>
      <w:r w:rsidR="00B25DE7" w:rsidRPr="00CE79FD">
        <w:rPr>
          <w:rFonts w:ascii="Times New Roman" w:hAnsi="Times New Roman"/>
          <w:sz w:val="24"/>
          <w:szCs w:val="24"/>
          <w:vertAlign w:val="superscript"/>
          <w:lang w:eastAsia="zh-CN"/>
        </w:rPr>
        <w:t>13</w:t>
      </w:r>
      <w:r w:rsidR="00B25DE7" w:rsidRPr="00CE79FD">
        <w:rPr>
          <w:rFonts w:ascii="Times New Roman" w:hAnsi="Times New Roman"/>
          <w:sz w:val="24"/>
          <w:szCs w:val="24"/>
          <w:lang w:eastAsia="zh-CN"/>
        </w:rPr>
        <w:t xml:space="preserve">C show the formation of borophosphates creating a glass reinforcing the </w:t>
      </w:r>
      <w:bookmarkEnd w:id="1"/>
      <w:r w:rsidR="00B25DE7" w:rsidRPr="00CE79FD">
        <w:rPr>
          <w:rFonts w:ascii="Times New Roman" w:hAnsi="Times New Roman"/>
          <w:sz w:val="24"/>
          <w:szCs w:val="24"/>
          <w:lang w:eastAsia="zh-CN"/>
        </w:rPr>
        <w:t>intumescent char. This acts as a ‘glue’ providing flexibility and cohesion to the char leading to better fire resistance to burn-through.</w:t>
      </w:r>
    </w:p>
    <w:p w14:paraId="31DFCFCC" w14:textId="77777777" w:rsidR="00FE352F" w:rsidRPr="00CE79FD" w:rsidRDefault="00FE352F" w:rsidP="0031571F">
      <w:pPr>
        <w:pStyle w:val="Body"/>
        <w:spacing w:after="0"/>
        <w:contextualSpacing/>
        <w:rPr>
          <w:rFonts w:ascii="Times New Roman" w:hAnsi="Times New Roman"/>
          <w:b/>
          <w:sz w:val="24"/>
          <w:szCs w:val="24"/>
          <w:lang w:eastAsia="zh-CN"/>
        </w:rPr>
      </w:pPr>
    </w:p>
    <w:p w14:paraId="72339B46" w14:textId="77777777" w:rsidR="00EC6E9E" w:rsidRPr="00CE79FD" w:rsidRDefault="00C67DB5" w:rsidP="0031571F">
      <w:pPr>
        <w:pStyle w:val="Body"/>
        <w:spacing w:after="0"/>
        <w:contextualSpacing/>
        <w:rPr>
          <w:rFonts w:ascii="Times New Roman" w:hAnsi="Times New Roman"/>
          <w:sz w:val="24"/>
          <w:szCs w:val="24"/>
          <w:lang w:eastAsia="zh-CN"/>
        </w:rPr>
      </w:pPr>
      <w:r w:rsidRPr="00CE79FD">
        <w:rPr>
          <w:rFonts w:ascii="Times New Roman" w:hAnsi="Times New Roman"/>
          <w:b/>
          <w:sz w:val="24"/>
          <w:szCs w:val="24"/>
          <w:lang w:eastAsia="zh-CN"/>
        </w:rPr>
        <w:t>C</w:t>
      </w:r>
      <w:r w:rsidR="00EC6E9E" w:rsidRPr="00CE79FD">
        <w:rPr>
          <w:rFonts w:ascii="Times New Roman" w:hAnsi="Times New Roman"/>
          <w:b/>
          <w:sz w:val="24"/>
          <w:szCs w:val="24"/>
          <w:lang w:eastAsia="zh-CN"/>
        </w:rPr>
        <w:t>onclusion</w:t>
      </w:r>
    </w:p>
    <w:p w14:paraId="40D8C849" w14:textId="77777777" w:rsidR="00CF6F7B" w:rsidRPr="00CE79FD" w:rsidRDefault="00CF6F7B" w:rsidP="00CE43AD">
      <w:pPr>
        <w:tabs>
          <w:tab w:val="left" w:pos="540"/>
        </w:tabs>
        <w:autoSpaceDE w:val="0"/>
        <w:autoSpaceDN w:val="0"/>
        <w:adjustRightInd w:val="0"/>
        <w:jc w:val="both"/>
        <w:rPr>
          <w:lang w:val="en-US" w:eastAsia="zh-CN"/>
        </w:rPr>
      </w:pPr>
      <w:r w:rsidRPr="00CE79FD">
        <w:rPr>
          <w:lang w:val="en-US"/>
        </w:rPr>
        <w:t xml:space="preserve">Scaling reduction permits to successfully build several bench-scale tests mimicking different fire scenarios and providing appropriate and reliable results. Those benches were used to examine the </w:t>
      </w:r>
      <w:r w:rsidR="008A14FB" w:rsidRPr="00CE79FD">
        <w:rPr>
          <w:lang w:val="en-US"/>
        </w:rPr>
        <w:t xml:space="preserve">effect of electric current upon burning of simulated cables and </w:t>
      </w:r>
      <w:r w:rsidR="00314FCC" w:rsidRPr="00CE79FD">
        <w:rPr>
          <w:lang w:val="en-US"/>
        </w:rPr>
        <w:t>the fire behavior of intumescent PPs in extreme conditions</w:t>
      </w:r>
      <w:r w:rsidR="00CE79FD" w:rsidRPr="00CE79FD">
        <w:rPr>
          <w:lang w:val="en-US"/>
        </w:rPr>
        <w:t xml:space="preserve">. </w:t>
      </w:r>
    </w:p>
    <w:p w14:paraId="57887C19" w14:textId="77777777" w:rsidR="00CF6F7B" w:rsidRPr="00CE79FD" w:rsidRDefault="00CF6F7B" w:rsidP="00CE43AD">
      <w:pPr>
        <w:tabs>
          <w:tab w:val="left" w:pos="540"/>
        </w:tabs>
        <w:autoSpaceDE w:val="0"/>
        <w:autoSpaceDN w:val="0"/>
        <w:adjustRightInd w:val="0"/>
        <w:jc w:val="both"/>
        <w:rPr>
          <w:lang w:val="en-US" w:eastAsia="zh-CN"/>
        </w:rPr>
      </w:pPr>
    </w:p>
    <w:p w14:paraId="2A0DB448" w14:textId="77777777" w:rsidR="00985C1C" w:rsidRPr="00CE79FD" w:rsidRDefault="00985C1C" w:rsidP="00985C1C">
      <w:pPr>
        <w:pStyle w:val="Body"/>
        <w:spacing w:after="0"/>
        <w:contextualSpacing/>
        <w:rPr>
          <w:rFonts w:ascii="Times New Roman" w:hAnsi="Times New Roman"/>
          <w:b/>
          <w:sz w:val="24"/>
          <w:szCs w:val="24"/>
          <w:lang w:eastAsia="zh-CN"/>
        </w:rPr>
      </w:pPr>
      <w:r w:rsidRPr="00CE79FD">
        <w:rPr>
          <w:rFonts w:ascii="Times New Roman" w:hAnsi="Times New Roman"/>
          <w:b/>
          <w:sz w:val="24"/>
          <w:szCs w:val="24"/>
          <w:lang w:eastAsia="zh-CN"/>
        </w:rPr>
        <w:t>Acknowledgement</w:t>
      </w:r>
    </w:p>
    <w:p w14:paraId="6ACA08E4" w14:textId="77777777" w:rsidR="00985C1C" w:rsidRPr="00CE79FD" w:rsidRDefault="00985C1C" w:rsidP="00985C1C">
      <w:pPr>
        <w:spacing w:line="256" w:lineRule="auto"/>
        <w:rPr>
          <w:rFonts w:eastAsia="Calibri"/>
          <w:lang w:val="en-US"/>
        </w:rPr>
      </w:pPr>
      <w:r w:rsidRPr="00CE79FD">
        <w:rPr>
          <w:rFonts w:eastAsia="Calibri"/>
          <w:lang w:val="en-US"/>
        </w:rPr>
        <w:t xml:space="preserve">This work has received funding from the European Research Council (ERC) under the European Union’s H2020 – the Framework </w:t>
      </w:r>
      <w:proofErr w:type="spellStart"/>
      <w:r w:rsidRPr="00CE79FD">
        <w:rPr>
          <w:rFonts w:eastAsia="Calibri"/>
          <w:lang w:val="en-US"/>
        </w:rPr>
        <w:t>programme</w:t>
      </w:r>
      <w:proofErr w:type="spellEnd"/>
      <w:r w:rsidRPr="00CE79FD">
        <w:rPr>
          <w:rFonts w:eastAsia="Calibri"/>
          <w:lang w:val="en-US"/>
        </w:rPr>
        <w:t xml:space="preserve"> for Research and Innovation (2014-2020) / ERC Grant Agreement n°670747 – ERC 2014 AdG/</w:t>
      </w:r>
      <w:proofErr w:type="spellStart"/>
      <w:r w:rsidRPr="00CE79FD">
        <w:rPr>
          <w:rFonts w:eastAsia="Calibri"/>
          <w:lang w:val="en-US"/>
        </w:rPr>
        <w:t>FireBar</w:t>
      </w:r>
      <w:proofErr w:type="spellEnd"/>
      <w:r w:rsidRPr="00CE79FD">
        <w:rPr>
          <w:rFonts w:eastAsia="Calibri"/>
          <w:lang w:val="en-US"/>
        </w:rPr>
        <w:t>-Concept.</w:t>
      </w:r>
    </w:p>
    <w:p w14:paraId="63C411C1" w14:textId="77777777" w:rsidR="00985C1C" w:rsidRPr="00CE79FD" w:rsidRDefault="00985C1C" w:rsidP="00172E82">
      <w:pPr>
        <w:pStyle w:val="Corpsdetexte"/>
        <w:rPr>
          <w:rFonts w:ascii="Times New Roman" w:hAnsi="Times New Roman"/>
          <w:b/>
          <w:lang w:val="en-US" w:eastAsia="zh-CN"/>
        </w:rPr>
      </w:pPr>
    </w:p>
    <w:p w14:paraId="73EA0DEC" w14:textId="77777777" w:rsidR="00885BA1" w:rsidRPr="00CE79FD" w:rsidRDefault="00885BA1" w:rsidP="008E48B2">
      <w:pPr>
        <w:adjustRightInd w:val="0"/>
        <w:snapToGrid w:val="0"/>
        <w:jc w:val="both"/>
        <w:rPr>
          <w:lang w:val="en-US" w:eastAsia="zh-CN"/>
        </w:rPr>
      </w:pPr>
    </w:p>
    <w:sectPr w:rsidR="00885BA1" w:rsidRPr="00CE79FD" w:rsidSect="00A81703">
      <w:headerReference w:type="even" r:id="rId13"/>
      <w:headerReference w:type="default" r:id="rId14"/>
      <w:pgSz w:w="11906" w:h="16838"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F012C" w14:textId="77777777" w:rsidR="00F93FE6" w:rsidRDefault="00F93FE6">
      <w:r>
        <w:separator/>
      </w:r>
    </w:p>
  </w:endnote>
  <w:endnote w:type="continuationSeparator" w:id="0">
    <w:p w14:paraId="7D60F565" w14:textId="77777777" w:rsidR="00F93FE6" w:rsidRDefault="00F9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4479E" w14:textId="77777777" w:rsidR="00F93FE6" w:rsidRDefault="00F93FE6">
      <w:r>
        <w:separator/>
      </w:r>
    </w:p>
  </w:footnote>
  <w:footnote w:type="continuationSeparator" w:id="0">
    <w:p w14:paraId="46D4FCEE" w14:textId="77777777" w:rsidR="00F93FE6" w:rsidRDefault="00F9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E1DC" w14:textId="77777777" w:rsidR="00885BA1" w:rsidRDefault="0074718E">
    <w:pPr>
      <w:pStyle w:val="En-tte"/>
      <w:framePr w:wrap="around" w:vAnchor="text" w:hAnchor="margin" w:xAlign="right" w:y="1"/>
      <w:rPr>
        <w:rStyle w:val="Numrodepage"/>
      </w:rPr>
    </w:pPr>
    <w:r>
      <w:rPr>
        <w:rStyle w:val="Numrodepage"/>
      </w:rPr>
      <w:fldChar w:fldCharType="begin"/>
    </w:r>
    <w:r w:rsidR="00885BA1">
      <w:rPr>
        <w:rStyle w:val="Numrodepage"/>
      </w:rPr>
      <w:instrText xml:space="preserve">PAGE  </w:instrText>
    </w:r>
    <w:r>
      <w:rPr>
        <w:rStyle w:val="Numrodepage"/>
      </w:rPr>
      <w:fldChar w:fldCharType="separate"/>
    </w:r>
    <w:r w:rsidR="00885BA1">
      <w:rPr>
        <w:rStyle w:val="Numrodepage"/>
        <w:noProof/>
      </w:rPr>
      <w:t>1</w:t>
    </w:r>
    <w:r>
      <w:rPr>
        <w:rStyle w:val="Numrodepage"/>
      </w:rPr>
      <w:fldChar w:fldCharType="end"/>
    </w:r>
  </w:p>
  <w:p w14:paraId="04248207" w14:textId="77777777" w:rsidR="00885BA1" w:rsidRDefault="00885BA1">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4991" w14:textId="77777777" w:rsidR="003462AE" w:rsidRPr="008F503D" w:rsidRDefault="008F503D" w:rsidP="00976CAB">
    <w:pPr>
      <w:pStyle w:val="En-tte"/>
      <w:pBdr>
        <w:bottom w:val="thickThinSmallGap" w:sz="24" w:space="1" w:color="622423"/>
      </w:pBdr>
      <w:jc w:val="center"/>
      <w:rPr>
        <w:rFonts w:ascii="Arial" w:hAnsi="Arial" w:cs="Arial"/>
        <w:sz w:val="18"/>
        <w:szCs w:val="18"/>
        <w:lang w:val="en-US" w:eastAsia="zh-CN"/>
      </w:rPr>
    </w:pPr>
    <w:r w:rsidRPr="008F503D">
      <w:rPr>
        <w:rFonts w:ascii="Arial" w:hAnsi="Arial" w:cs="Arial"/>
        <w:sz w:val="18"/>
        <w:szCs w:val="18"/>
        <w:lang w:val="en-US" w:eastAsia="zh-CN"/>
      </w:rPr>
      <w:t>6</w:t>
    </w:r>
    <w:r w:rsidR="00D76251" w:rsidRPr="008F503D">
      <w:rPr>
        <w:rFonts w:ascii="Arial" w:hAnsi="Arial" w:cs="Arial" w:hint="eastAsia"/>
        <w:sz w:val="18"/>
        <w:szCs w:val="18"/>
        <w:vertAlign w:val="superscript"/>
        <w:lang w:val="en-US" w:eastAsia="zh-CN"/>
      </w:rPr>
      <w:t>th</w:t>
    </w:r>
    <w:r w:rsidR="00976CAB" w:rsidRPr="008F503D">
      <w:rPr>
        <w:rFonts w:ascii="Arial" w:hAnsi="Arial" w:cs="Arial" w:hint="eastAsia"/>
        <w:sz w:val="18"/>
        <w:szCs w:val="18"/>
        <w:lang w:val="en-US" w:eastAsia="zh-CN"/>
      </w:rPr>
      <w:t xml:space="preserve"> International Symposium on Flame-Retardant Materials &amp; Technologies</w:t>
    </w:r>
  </w:p>
  <w:p w14:paraId="18781AF1" w14:textId="77777777" w:rsidR="00976CAB" w:rsidRPr="008F503D" w:rsidRDefault="00976CAB" w:rsidP="00976CAB">
    <w:pPr>
      <w:pStyle w:val="En-tte"/>
      <w:pBdr>
        <w:bottom w:val="thickThinSmallGap" w:sz="24" w:space="1" w:color="622423"/>
      </w:pBdr>
      <w:jc w:val="center"/>
      <w:rPr>
        <w:rFonts w:ascii="Arial" w:hAnsi="Arial" w:cs="Arial"/>
        <w:sz w:val="18"/>
        <w:szCs w:val="18"/>
        <w:lang w:val="en-US"/>
      </w:rPr>
    </w:pPr>
    <w:r w:rsidRPr="008F503D">
      <w:rPr>
        <w:rFonts w:ascii="Arial" w:hAnsi="Arial" w:cs="Arial" w:hint="eastAsia"/>
        <w:sz w:val="18"/>
        <w:szCs w:val="18"/>
        <w:lang w:val="en-US" w:eastAsia="zh-CN"/>
      </w:rPr>
      <w:t>20</w:t>
    </w:r>
    <w:r w:rsidR="008F503D" w:rsidRPr="008F503D">
      <w:rPr>
        <w:rFonts w:ascii="Arial" w:hAnsi="Arial" w:cs="Arial"/>
        <w:sz w:val="18"/>
        <w:szCs w:val="18"/>
        <w:lang w:val="en-US" w:eastAsia="zh-CN"/>
      </w:rPr>
      <w:t>20</w:t>
    </w:r>
    <w:r w:rsidRPr="008F503D">
      <w:rPr>
        <w:rFonts w:ascii="Arial" w:hAnsi="Arial" w:cs="Arial" w:hint="eastAsia"/>
        <w:sz w:val="18"/>
        <w:szCs w:val="18"/>
        <w:lang w:val="en-US" w:eastAsia="zh-CN"/>
      </w:rPr>
      <w:t xml:space="preserve">, </w:t>
    </w:r>
    <w:r w:rsidR="008F503D" w:rsidRPr="008F503D">
      <w:rPr>
        <w:rFonts w:ascii="Arial" w:hAnsi="Arial" w:cs="Arial"/>
        <w:sz w:val="18"/>
        <w:szCs w:val="18"/>
        <w:lang w:val="en-US" w:eastAsia="zh-CN"/>
      </w:rPr>
      <w:t>Qingdao</w:t>
    </w:r>
    <w:r w:rsidRPr="008F503D">
      <w:rPr>
        <w:rFonts w:ascii="Arial" w:hAnsi="Arial" w:cs="Arial" w:hint="eastAsia"/>
        <w:sz w:val="18"/>
        <w:szCs w:val="18"/>
        <w:lang w:val="en-US" w:eastAsia="zh-CN"/>
      </w:rPr>
      <w:t>,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06D26"/>
    <w:multiLevelType w:val="hybridMultilevel"/>
    <w:tmpl w:val="C838B2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DDB6D4B"/>
    <w:multiLevelType w:val="hybridMultilevel"/>
    <w:tmpl w:val="0E7C1E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SFRM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wrrxrp6t2vvuesp0ex25rpd9r9szex20z5&quot;&gt;My EndNote Library&lt;record-ids&gt;&lt;item&gt;4211&lt;/item&gt;&lt;/record-ids&gt;&lt;/item&gt;&lt;/Libraries&gt;"/>
  </w:docVars>
  <w:rsids>
    <w:rsidRoot w:val="00974D54"/>
    <w:rsid w:val="00004365"/>
    <w:rsid w:val="00007B10"/>
    <w:rsid w:val="00014747"/>
    <w:rsid w:val="00035AD6"/>
    <w:rsid w:val="000360D5"/>
    <w:rsid w:val="00047922"/>
    <w:rsid w:val="00055300"/>
    <w:rsid w:val="0007738B"/>
    <w:rsid w:val="00085958"/>
    <w:rsid w:val="000A58EF"/>
    <w:rsid w:val="000D7B6D"/>
    <w:rsid w:val="00111141"/>
    <w:rsid w:val="001258AD"/>
    <w:rsid w:val="00131FDA"/>
    <w:rsid w:val="00140126"/>
    <w:rsid w:val="001518C0"/>
    <w:rsid w:val="00172E82"/>
    <w:rsid w:val="00182E66"/>
    <w:rsid w:val="00184604"/>
    <w:rsid w:val="001861CB"/>
    <w:rsid w:val="001A72EF"/>
    <w:rsid w:val="001A7751"/>
    <w:rsid w:val="001D1EE5"/>
    <w:rsid w:val="001D433E"/>
    <w:rsid w:val="001E1C3A"/>
    <w:rsid w:val="001E4432"/>
    <w:rsid w:val="00217711"/>
    <w:rsid w:val="00220D4D"/>
    <w:rsid w:val="00253F39"/>
    <w:rsid w:val="002626DA"/>
    <w:rsid w:val="00274C57"/>
    <w:rsid w:val="00284629"/>
    <w:rsid w:val="002B6B96"/>
    <w:rsid w:val="002F2A18"/>
    <w:rsid w:val="003060B6"/>
    <w:rsid w:val="00314FCC"/>
    <w:rsid w:val="0031571F"/>
    <w:rsid w:val="003353E3"/>
    <w:rsid w:val="003462AE"/>
    <w:rsid w:val="00370193"/>
    <w:rsid w:val="00393CC3"/>
    <w:rsid w:val="00407A20"/>
    <w:rsid w:val="00424B48"/>
    <w:rsid w:val="004341E0"/>
    <w:rsid w:val="0043585D"/>
    <w:rsid w:val="00440171"/>
    <w:rsid w:val="0044264A"/>
    <w:rsid w:val="00467649"/>
    <w:rsid w:val="004719CB"/>
    <w:rsid w:val="004A7F3C"/>
    <w:rsid w:val="00517542"/>
    <w:rsid w:val="00533A03"/>
    <w:rsid w:val="005371B1"/>
    <w:rsid w:val="005613AC"/>
    <w:rsid w:val="00574640"/>
    <w:rsid w:val="005A1E78"/>
    <w:rsid w:val="005A491E"/>
    <w:rsid w:val="005C0CEA"/>
    <w:rsid w:val="005D53DF"/>
    <w:rsid w:val="005E25D1"/>
    <w:rsid w:val="005F0BA6"/>
    <w:rsid w:val="005F414F"/>
    <w:rsid w:val="005F6E22"/>
    <w:rsid w:val="0063321C"/>
    <w:rsid w:val="00636931"/>
    <w:rsid w:val="00645E3C"/>
    <w:rsid w:val="00675435"/>
    <w:rsid w:val="0067591F"/>
    <w:rsid w:val="0068547E"/>
    <w:rsid w:val="00697AE7"/>
    <w:rsid w:val="006A0701"/>
    <w:rsid w:val="006B47F5"/>
    <w:rsid w:val="006C2B1C"/>
    <w:rsid w:val="006E2866"/>
    <w:rsid w:val="006F05D7"/>
    <w:rsid w:val="00705258"/>
    <w:rsid w:val="0071720D"/>
    <w:rsid w:val="00744379"/>
    <w:rsid w:val="0074718E"/>
    <w:rsid w:val="00757DB2"/>
    <w:rsid w:val="007918B4"/>
    <w:rsid w:val="007A0E46"/>
    <w:rsid w:val="007A4E06"/>
    <w:rsid w:val="007E4374"/>
    <w:rsid w:val="007F2D4D"/>
    <w:rsid w:val="008127AC"/>
    <w:rsid w:val="00812B59"/>
    <w:rsid w:val="00816F1A"/>
    <w:rsid w:val="00826D7D"/>
    <w:rsid w:val="00833129"/>
    <w:rsid w:val="008372B8"/>
    <w:rsid w:val="0084732E"/>
    <w:rsid w:val="008755F7"/>
    <w:rsid w:val="00885BA1"/>
    <w:rsid w:val="0089066C"/>
    <w:rsid w:val="00892E44"/>
    <w:rsid w:val="008975DD"/>
    <w:rsid w:val="008A14FB"/>
    <w:rsid w:val="008C603D"/>
    <w:rsid w:val="008E48B2"/>
    <w:rsid w:val="008F503D"/>
    <w:rsid w:val="00911CB8"/>
    <w:rsid w:val="00916B12"/>
    <w:rsid w:val="009344CD"/>
    <w:rsid w:val="00936F21"/>
    <w:rsid w:val="009374A2"/>
    <w:rsid w:val="009452E3"/>
    <w:rsid w:val="009506D2"/>
    <w:rsid w:val="009555B3"/>
    <w:rsid w:val="009568F5"/>
    <w:rsid w:val="00957FBE"/>
    <w:rsid w:val="00974D54"/>
    <w:rsid w:val="00976CAB"/>
    <w:rsid w:val="00984774"/>
    <w:rsid w:val="00985C1C"/>
    <w:rsid w:val="009A4832"/>
    <w:rsid w:val="009A6DCB"/>
    <w:rsid w:val="009A7EAE"/>
    <w:rsid w:val="00A06E9C"/>
    <w:rsid w:val="00A109CF"/>
    <w:rsid w:val="00A149A4"/>
    <w:rsid w:val="00A3645A"/>
    <w:rsid w:val="00A543ED"/>
    <w:rsid w:val="00A739DB"/>
    <w:rsid w:val="00A81703"/>
    <w:rsid w:val="00A902D0"/>
    <w:rsid w:val="00A91A5C"/>
    <w:rsid w:val="00AA7C86"/>
    <w:rsid w:val="00AC28FB"/>
    <w:rsid w:val="00AC2B7D"/>
    <w:rsid w:val="00AD3D0A"/>
    <w:rsid w:val="00AD45CD"/>
    <w:rsid w:val="00B14C52"/>
    <w:rsid w:val="00B178D5"/>
    <w:rsid w:val="00B25DE7"/>
    <w:rsid w:val="00B318CD"/>
    <w:rsid w:val="00B35533"/>
    <w:rsid w:val="00B37B38"/>
    <w:rsid w:val="00B467A2"/>
    <w:rsid w:val="00B501A5"/>
    <w:rsid w:val="00B52861"/>
    <w:rsid w:val="00B52B53"/>
    <w:rsid w:val="00B64E1D"/>
    <w:rsid w:val="00B926A0"/>
    <w:rsid w:val="00B9757F"/>
    <w:rsid w:val="00BE375D"/>
    <w:rsid w:val="00BE37D4"/>
    <w:rsid w:val="00BE4D7C"/>
    <w:rsid w:val="00C23293"/>
    <w:rsid w:val="00C43E64"/>
    <w:rsid w:val="00C51F34"/>
    <w:rsid w:val="00C67DB5"/>
    <w:rsid w:val="00C776C5"/>
    <w:rsid w:val="00C8282C"/>
    <w:rsid w:val="00CA1790"/>
    <w:rsid w:val="00CC1F89"/>
    <w:rsid w:val="00CE0B39"/>
    <w:rsid w:val="00CE43AD"/>
    <w:rsid w:val="00CE79FD"/>
    <w:rsid w:val="00CF0148"/>
    <w:rsid w:val="00CF3732"/>
    <w:rsid w:val="00CF6F7B"/>
    <w:rsid w:val="00D075EB"/>
    <w:rsid w:val="00D30F7E"/>
    <w:rsid w:val="00D50132"/>
    <w:rsid w:val="00D52A29"/>
    <w:rsid w:val="00D76251"/>
    <w:rsid w:val="00D77789"/>
    <w:rsid w:val="00D91009"/>
    <w:rsid w:val="00DE446E"/>
    <w:rsid w:val="00DF455E"/>
    <w:rsid w:val="00E0600F"/>
    <w:rsid w:val="00E23B20"/>
    <w:rsid w:val="00E36246"/>
    <w:rsid w:val="00E40350"/>
    <w:rsid w:val="00E814DD"/>
    <w:rsid w:val="00E9751B"/>
    <w:rsid w:val="00EA4D49"/>
    <w:rsid w:val="00EA6DF2"/>
    <w:rsid w:val="00EA71F3"/>
    <w:rsid w:val="00EC3812"/>
    <w:rsid w:val="00EC6041"/>
    <w:rsid w:val="00EC6E9E"/>
    <w:rsid w:val="00ED3CA3"/>
    <w:rsid w:val="00ED513F"/>
    <w:rsid w:val="00EE5144"/>
    <w:rsid w:val="00F477BB"/>
    <w:rsid w:val="00F70C10"/>
    <w:rsid w:val="00F92BFF"/>
    <w:rsid w:val="00F93FE6"/>
    <w:rsid w:val="00FA40E2"/>
    <w:rsid w:val="00FB044C"/>
    <w:rsid w:val="00FC78B8"/>
    <w:rsid w:val="00FE1F4B"/>
    <w:rsid w:val="00FE352F"/>
    <w:rsid w:val="00FE469E"/>
    <w:rsid w:val="00FF3AA1"/>
    <w:rsid w:val="00FF7B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53B7A"/>
  <w15:chartTrackingRefBased/>
  <w15:docId w15:val="{6E880D33-4347-4FDB-8AD4-D1F4DD66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D54"/>
    <w:rPr>
      <w:sz w:val="24"/>
      <w:szCs w:val="24"/>
    </w:rPr>
  </w:style>
  <w:style w:type="paragraph" w:styleId="Titre1">
    <w:name w:val="heading 1"/>
    <w:basedOn w:val="Normal"/>
    <w:next w:val="Normal"/>
    <w:link w:val="Titre1Car"/>
    <w:uiPriority w:val="99"/>
    <w:qFormat/>
    <w:rsid w:val="00974D54"/>
    <w:pPr>
      <w:keepNext/>
      <w:autoSpaceDE w:val="0"/>
      <w:autoSpaceDN w:val="0"/>
      <w:adjustRightInd w:val="0"/>
      <w:jc w:val="right"/>
      <w:outlineLvl w:val="0"/>
    </w:pPr>
    <w:rPr>
      <w:rFonts w:ascii="TimesNewRoman,Bold" w:hAnsi="TimesNewRoman,Bold"/>
      <w:b/>
      <w:bCs/>
      <w:sz w:val="32"/>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B034D"/>
    <w:rPr>
      <w:rFonts w:ascii="Cambria" w:eastAsia="Times New Roman" w:hAnsi="Cambria" w:cs="Times New Roman"/>
      <w:b/>
      <w:bCs/>
      <w:kern w:val="32"/>
      <w:sz w:val="32"/>
      <w:szCs w:val="32"/>
    </w:rPr>
  </w:style>
  <w:style w:type="paragraph" w:styleId="En-tte">
    <w:name w:val="header"/>
    <w:basedOn w:val="Normal"/>
    <w:link w:val="En-tteCar"/>
    <w:uiPriority w:val="99"/>
    <w:rsid w:val="00974D54"/>
    <w:pPr>
      <w:tabs>
        <w:tab w:val="center" w:pos="4536"/>
        <w:tab w:val="right" w:pos="9072"/>
      </w:tabs>
    </w:pPr>
  </w:style>
  <w:style w:type="character" w:customStyle="1" w:styleId="En-tteCar">
    <w:name w:val="En-tête Car"/>
    <w:link w:val="En-tte"/>
    <w:uiPriority w:val="99"/>
    <w:rsid w:val="00DB034D"/>
    <w:rPr>
      <w:sz w:val="24"/>
      <w:szCs w:val="24"/>
    </w:rPr>
  </w:style>
  <w:style w:type="character" w:styleId="Numrodepage">
    <w:name w:val="page number"/>
    <w:uiPriority w:val="99"/>
    <w:rsid w:val="00974D54"/>
    <w:rPr>
      <w:rFonts w:cs="Times New Roman"/>
    </w:rPr>
  </w:style>
  <w:style w:type="paragraph" w:styleId="Corpsdetexte">
    <w:name w:val="Body Text"/>
    <w:basedOn w:val="Normal"/>
    <w:link w:val="CorpsdetexteCar"/>
    <w:uiPriority w:val="99"/>
    <w:rsid w:val="00974D54"/>
    <w:pPr>
      <w:autoSpaceDE w:val="0"/>
      <w:autoSpaceDN w:val="0"/>
      <w:adjustRightInd w:val="0"/>
      <w:jc w:val="both"/>
    </w:pPr>
    <w:rPr>
      <w:rFonts w:ascii="TimesNewRoman" w:hAnsi="TimesNewRoman"/>
      <w:lang w:val="en-GB"/>
    </w:rPr>
  </w:style>
  <w:style w:type="character" w:customStyle="1" w:styleId="CorpsdetexteCar">
    <w:name w:val="Corps de texte Car"/>
    <w:link w:val="Corpsdetexte"/>
    <w:uiPriority w:val="99"/>
    <w:semiHidden/>
    <w:rsid w:val="00DB034D"/>
    <w:rPr>
      <w:sz w:val="24"/>
      <w:szCs w:val="24"/>
    </w:rPr>
  </w:style>
  <w:style w:type="character" w:customStyle="1" w:styleId="ueberschriftfrpm">
    <w:name w:val="ueberschrift_frpm"/>
    <w:uiPriority w:val="99"/>
    <w:rsid w:val="00974D54"/>
    <w:rPr>
      <w:rFonts w:cs="Times New Roman"/>
    </w:rPr>
  </w:style>
  <w:style w:type="character" w:customStyle="1" w:styleId="ueberschriftgross">
    <w:name w:val="ueberschrift_gross"/>
    <w:uiPriority w:val="99"/>
    <w:rsid w:val="00974D54"/>
    <w:rPr>
      <w:rFonts w:cs="Times New Roman"/>
    </w:rPr>
  </w:style>
  <w:style w:type="paragraph" w:styleId="Pieddepage">
    <w:name w:val="footer"/>
    <w:basedOn w:val="Normal"/>
    <w:link w:val="PieddepageCar"/>
    <w:uiPriority w:val="99"/>
    <w:rsid w:val="00974D54"/>
    <w:pPr>
      <w:tabs>
        <w:tab w:val="center" w:pos="4153"/>
        <w:tab w:val="right" w:pos="8306"/>
      </w:tabs>
    </w:pPr>
  </w:style>
  <w:style w:type="character" w:customStyle="1" w:styleId="PieddepageCar">
    <w:name w:val="Pied de page Car"/>
    <w:link w:val="Pieddepage"/>
    <w:uiPriority w:val="99"/>
    <w:semiHidden/>
    <w:rsid w:val="00DB034D"/>
    <w:rPr>
      <w:sz w:val="24"/>
      <w:szCs w:val="24"/>
    </w:rPr>
  </w:style>
  <w:style w:type="paragraph" w:customStyle="1" w:styleId="Body">
    <w:name w:val="Body"/>
    <w:basedOn w:val="Normal"/>
    <w:uiPriority w:val="99"/>
    <w:rsid w:val="00CE43AD"/>
    <w:pPr>
      <w:spacing w:after="240"/>
      <w:jc w:val="both"/>
    </w:pPr>
    <w:rPr>
      <w:rFonts w:ascii="Helvetica" w:hAnsi="Helvetica"/>
      <w:sz w:val="20"/>
      <w:szCs w:val="20"/>
      <w:lang w:val="en-US" w:eastAsia="en-US"/>
    </w:rPr>
  </w:style>
  <w:style w:type="paragraph" w:customStyle="1" w:styleId="AbstHead">
    <w:name w:val="Abst Head"/>
    <w:basedOn w:val="Normal"/>
    <w:uiPriority w:val="99"/>
    <w:rsid w:val="00CE43AD"/>
    <w:pPr>
      <w:keepNext/>
      <w:spacing w:after="240"/>
    </w:pPr>
    <w:rPr>
      <w:rFonts w:ascii="Helvetica" w:hAnsi="Helvetica"/>
      <w:b/>
      <w:caps/>
      <w:sz w:val="22"/>
      <w:szCs w:val="20"/>
      <w:lang w:val="en-US" w:eastAsia="en-US"/>
    </w:rPr>
  </w:style>
  <w:style w:type="paragraph" w:customStyle="1" w:styleId="OrdList">
    <w:name w:val="Ord List"/>
    <w:basedOn w:val="Normal"/>
    <w:uiPriority w:val="99"/>
    <w:rsid w:val="0031571F"/>
    <w:pPr>
      <w:ind w:left="360" w:hanging="360"/>
    </w:pPr>
    <w:rPr>
      <w:rFonts w:ascii="Helvetica" w:hAnsi="Helvetica"/>
      <w:sz w:val="20"/>
      <w:szCs w:val="20"/>
      <w:lang w:val="en-US" w:eastAsia="en-US"/>
    </w:rPr>
  </w:style>
  <w:style w:type="paragraph" w:styleId="Textedebulles">
    <w:name w:val="Balloon Text"/>
    <w:basedOn w:val="Normal"/>
    <w:link w:val="TextedebullesCar"/>
    <w:uiPriority w:val="99"/>
    <w:semiHidden/>
    <w:unhideWhenUsed/>
    <w:rsid w:val="001A72EF"/>
    <w:rPr>
      <w:rFonts w:ascii="Tahoma" w:hAnsi="Tahoma" w:cs="Tahoma"/>
      <w:sz w:val="16"/>
      <w:szCs w:val="16"/>
    </w:rPr>
  </w:style>
  <w:style w:type="character" w:customStyle="1" w:styleId="TextedebullesCar">
    <w:name w:val="Texte de bulles Car"/>
    <w:link w:val="Textedebulles"/>
    <w:uiPriority w:val="99"/>
    <w:semiHidden/>
    <w:rsid w:val="001A72EF"/>
    <w:rPr>
      <w:rFonts w:ascii="Tahoma" w:hAnsi="Tahoma" w:cs="Tahoma"/>
      <w:sz w:val="16"/>
      <w:szCs w:val="16"/>
    </w:rPr>
  </w:style>
  <w:style w:type="paragraph" w:customStyle="1" w:styleId="759127A2943647F8AF2D3FC6F7DC3341">
    <w:name w:val="759127A2943647F8AF2D3FC6F7DC3341"/>
    <w:rsid w:val="00976CAB"/>
    <w:pPr>
      <w:spacing w:after="200" w:line="276" w:lineRule="auto"/>
    </w:pPr>
    <w:rPr>
      <w:rFonts w:ascii="Calibri" w:hAnsi="Calibri"/>
      <w:sz w:val="22"/>
      <w:szCs w:val="22"/>
      <w:lang w:val="en-US" w:eastAsia="en-US"/>
    </w:rPr>
  </w:style>
  <w:style w:type="paragraph" w:styleId="NormalWeb">
    <w:name w:val="Normal (Web)"/>
    <w:basedOn w:val="Normal"/>
    <w:uiPriority w:val="99"/>
    <w:unhideWhenUsed/>
    <w:rsid w:val="00B178D5"/>
    <w:pPr>
      <w:spacing w:before="100" w:beforeAutospacing="1" w:after="100" w:afterAutospacing="1"/>
    </w:pPr>
    <w:rPr>
      <w:rFonts w:ascii="SimSun" w:hAnsi="SimSun" w:cs="SimSun"/>
      <w:lang w:val="en-US" w:eastAsia="zh-CN"/>
    </w:rPr>
  </w:style>
  <w:style w:type="character" w:customStyle="1" w:styleId="apple-converted-space">
    <w:name w:val="apple-converted-space"/>
    <w:basedOn w:val="Policepardfaut"/>
    <w:rsid w:val="00EA4D49"/>
  </w:style>
  <w:style w:type="paragraph" w:customStyle="1" w:styleId="EndNoteBibliographyTitle">
    <w:name w:val="EndNote Bibliography Title"/>
    <w:basedOn w:val="Normal"/>
    <w:link w:val="EndNoteBibliographyTitleCar"/>
    <w:rsid w:val="00004365"/>
    <w:pPr>
      <w:jc w:val="center"/>
    </w:pPr>
    <w:rPr>
      <w:noProof/>
    </w:rPr>
  </w:style>
  <w:style w:type="character" w:customStyle="1" w:styleId="EndNoteBibliographyTitleCar">
    <w:name w:val="EndNote Bibliography Title Car"/>
    <w:link w:val="EndNoteBibliographyTitle"/>
    <w:rsid w:val="00004365"/>
    <w:rPr>
      <w:noProof/>
      <w:sz w:val="24"/>
      <w:szCs w:val="24"/>
    </w:rPr>
  </w:style>
  <w:style w:type="paragraph" w:customStyle="1" w:styleId="EndNoteBibliography">
    <w:name w:val="EndNote Bibliography"/>
    <w:basedOn w:val="Normal"/>
    <w:link w:val="EndNoteBibliographyCar"/>
    <w:rsid w:val="00004365"/>
    <w:pPr>
      <w:jc w:val="both"/>
    </w:pPr>
    <w:rPr>
      <w:noProof/>
    </w:rPr>
  </w:style>
  <w:style w:type="character" w:customStyle="1" w:styleId="EndNoteBibliographyCar">
    <w:name w:val="EndNote Bibliography Car"/>
    <w:link w:val="EndNoteBibliography"/>
    <w:rsid w:val="00004365"/>
    <w:rPr>
      <w:noProof/>
      <w:sz w:val="24"/>
      <w:szCs w:val="24"/>
    </w:rPr>
  </w:style>
  <w:style w:type="table" w:styleId="Grilledutableau">
    <w:name w:val="Table Grid"/>
    <w:basedOn w:val="TableauNormal"/>
    <w:rsid w:val="0026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518C0"/>
    <w:rPr>
      <w:sz w:val="16"/>
      <w:szCs w:val="16"/>
    </w:rPr>
  </w:style>
  <w:style w:type="paragraph" w:styleId="Commentaire">
    <w:name w:val="annotation text"/>
    <w:basedOn w:val="Normal"/>
    <w:link w:val="CommentaireCar"/>
    <w:uiPriority w:val="99"/>
    <w:semiHidden/>
    <w:unhideWhenUsed/>
    <w:rsid w:val="001518C0"/>
    <w:rPr>
      <w:sz w:val="20"/>
      <w:szCs w:val="20"/>
    </w:rPr>
  </w:style>
  <w:style w:type="character" w:customStyle="1" w:styleId="CommentaireCar">
    <w:name w:val="Commentaire Car"/>
    <w:basedOn w:val="Policepardfaut"/>
    <w:link w:val="Commentaire"/>
    <w:uiPriority w:val="99"/>
    <w:semiHidden/>
    <w:rsid w:val="001518C0"/>
  </w:style>
  <w:style w:type="paragraph" w:styleId="Objetducommentaire">
    <w:name w:val="annotation subject"/>
    <w:basedOn w:val="Commentaire"/>
    <w:next w:val="Commentaire"/>
    <w:link w:val="ObjetducommentaireCar"/>
    <w:uiPriority w:val="99"/>
    <w:semiHidden/>
    <w:unhideWhenUsed/>
    <w:rsid w:val="001518C0"/>
    <w:rPr>
      <w:b/>
      <w:bCs/>
    </w:rPr>
  </w:style>
  <w:style w:type="character" w:customStyle="1" w:styleId="ObjetducommentaireCar">
    <w:name w:val="Objet du commentaire Car"/>
    <w:basedOn w:val="CommentaireCar"/>
    <w:link w:val="Objetducommentaire"/>
    <w:uiPriority w:val="99"/>
    <w:semiHidden/>
    <w:rsid w:val="00151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22012">
      <w:bodyDiv w:val="1"/>
      <w:marLeft w:val="0"/>
      <w:marRight w:val="0"/>
      <w:marTop w:val="0"/>
      <w:marBottom w:val="0"/>
      <w:divBdr>
        <w:top w:val="none" w:sz="0" w:space="0" w:color="auto"/>
        <w:left w:val="none" w:sz="0" w:space="0" w:color="auto"/>
        <w:bottom w:val="none" w:sz="0" w:space="0" w:color="auto"/>
        <w:right w:val="none" w:sz="0" w:space="0" w:color="auto"/>
      </w:divBdr>
      <w:divsChild>
        <w:div w:id="143308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3nd International Symposium on Flame-Retardant Materials &amp; Technologies
2014, Hefei, China</vt:lpstr>
    </vt:vector>
  </TitlesOfParts>
  <Company>Microsoft</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3nd International Symposium on Flame-Retardant Materials &amp; Technologies
2014, Hefei, China</dc:title>
  <dc:subject/>
  <dc:creator>Nicky</dc:creator>
  <cp:keywords/>
  <cp:lastModifiedBy>Intumescence FR</cp:lastModifiedBy>
  <cp:revision>2</cp:revision>
  <dcterms:created xsi:type="dcterms:W3CDTF">2020-02-07T16:43:00Z</dcterms:created>
  <dcterms:modified xsi:type="dcterms:W3CDTF">2020-02-07T16:43:00Z</dcterms:modified>
</cp:coreProperties>
</file>