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FF7D" w14:textId="11452FFE" w:rsidR="005B5FBA" w:rsidRDefault="00693354" w:rsidP="00693354">
      <w:pPr>
        <w:pStyle w:val="Kop1"/>
        <w:jc w:val="center"/>
        <w:rPr>
          <w:lang w:val="en-US"/>
        </w:rPr>
      </w:pPr>
      <w:r w:rsidRPr="00693354">
        <w:rPr>
          <w:lang w:val="en-US"/>
        </w:rPr>
        <w:t>Natural organic matter</w:t>
      </w:r>
      <w:r>
        <w:rPr>
          <w:lang w:val="en-US"/>
        </w:rPr>
        <w:t xml:space="preserve"> membrane</w:t>
      </w:r>
      <w:r w:rsidRPr="00693354">
        <w:rPr>
          <w:lang w:val="en-US"/>
        </w:rPr>
        <w:t xml:space="preserve"> fractionation </w:t>
      </w:r>
      <w:r w:rsidR="00E113F3">
        <w:rPr>
          <w:lang w:val="en-US"/>
        </w:rPr>
        <w:t>of</w:t>
      </w:r>
      <w:r w:rsidRPr="00693354">
        <w:rPr>
          <w:lang w:val="en-US"/>
        </w:rPr>
        <w:t xml:space="preserve"> s</w:t>
      </w:r>
      <w:r>
        <w:rPr>
          <w:lang w:val="en-US"/>
        </w:rPr>
        <w:t>urface water – A new approach</w:t>
      </w:r>
    </w:p>
    <w:p w14:paraId="029C9C12" w14:textId="77777777" w:rsidR="00D0315A" w:rsidRPr="00D0315A" w:rsidRDefault="00D0315A" w:rsidP="00D0315A">
      <w:pPr>
        <w:spacing w:line="240" w:lineRule="auto"/>
        <w:rPr>
          <w:i/>
          <w:lang w:val="en-US"/>
        </w:rPr>
      </w:pPr>
      <w:r w:rsidRPr="00D0315A">
        <w:rPr>
          <w:i/>
          <w:lang w:val="en-US"/>
        </w:rPr>
        <w:t xml:space="preserve">Karlien </w:t>
      </w:r>
      <w:proofErr w:type="spellStart"/>
      <w:r w:rsidRPr="00D0315A">
        <w:rPr>
          <w:i/>
          <w:lang w:val="en-US"/>
        </w:rPr>
        <w:t>Dejaeger</w:t>
      </w:r>
      <w:r w:rsidRPr="00D0315A">
        <w:rPr>
          <w:i/>
          <w:vertAlign w:val="superscript"/>
          <w:lang w:val="en-US"/>
        </w:rPr>
        <w:t>a,b,c</w:t>
      </w:r>
      <w:proofErr w:type="spellEnd"/>
      <w:r w:rsidRPr="00D0315A">
        <w:rPr>
          <w:i/>
          <w:lang w:val="en-US"/>
        </w:rPr>
        <w:t xml:space="preserve">, Justine </w:t>
      </w:r>
      <w:proofErr w:type="spellStart"/>
      <w:r w:rsidRPr="00D0315A">
        <w:rPr>
          <w:i/>
          <w:lang w:val="en-US"/>
        </w:rPr>
        <w:t>Criquet</w:t>
      </w:r>
      <w:r w:rsidRPr="00D0315A">
        <w:rPr>
          <w:i/>
          <w:vertAlign w:val="superscript"/>
          <w:lang w:val="en-US"/>
        </w:rPr>
        <w:t>b</w:t>
      </w:r>
      <w:proofErr w:type="spellEnd"/>
      <w:r w:rsidRPr="00D0315A">
        <w:rPr>
          <w:i/>
          <w:lang w:val="en-US"/>
        </w:rPr>
        <w:t xml:space="preserve">, Marjolein </w:t>
      </w:r>
      <w:proofErr w:type="spellStart"/>
      <w:r w:rsidRPr="00D0315A">
        <w:rPr>
          <w:i/>
          <w:lang w:val="en-US"/>
        </w:rPr>
        <w:t>Vanoppen</w:t>
      </w:r>
      <w:r w:rsidRPr="00D0315A">
        <w:rPr>
          <w:i/>
          <w:vertAlign w:val="superscript"/>
          <w:lang w:val="en-US"/>
        </w:rPr>
        <w:t>a,d</w:t>
      </w:r>
      <w:proofErr w:type="spellEnd"/>
      <w:r w:rsidRPr="00D0315A">
        <w:rPr>
          <w:i/>
          <w:lang w:val="en-US"/>
        </w:rPr>
        <w:t xml:space="preserve">, Cécile </w:t>
      </w:r>
      <w:proofErr w:type="spellStart"/>
      <w:r w:rsidRPr="00D0315A">
        <w:rPr>
          <w:i/>
          <w:lang w:val="en-US"/>
        </w:rPr>
        <w:t>Vignal</w:t>
      </w:r>
      <w:r w:rsidRPr="00D0315A">
        <w:rPr>
          <w:i/>
          <w:vertAlign w:val="superscript"/>
          <w:lang w:val="en-US"/>
        </w:rPr>
        <w:t>c</w:t>
      </w:r>
      <w:proofErr w:type="spellEnd"/>
      <w:r w:rsidRPr="00D0315A">
        <w:rPr>
          <w:i/>
          <w:lang w:val="en-US"/>
        </w:rPr>
        <w:t xml:space="preserve">, Gabriel </w:t>
      </w:r>
      <w:proofErr w:type="spellStart"/>
      <w:r w:rsidRPr="00D0315A">
        <w:rPr>
          <w:i/>
          <w:lang w:val="en-US"/>
        </w:rPr>
        <w:t>Billon</w:t>
      </w:r>
      <w:r w:rsidRPr="00D0315A">
        <w:rPr>
          <w:i/>
          <w:vertAlign w:val="superscript"/>
          <w:lang w:val="en-US"/>
        </w:rPr>
        <w:t>b</w:t>
      </w:r>
      <w:proofErr w:type="spellEnd"/>
      <w:r w:rsidRPr="00D0315A">
        <w:rPr>
          <w:i/>
          <w:lang w:val="en-US"/>
        </w:rPr>
        <w:t xml:space="preserve"> and Emile R. </w:t>
      </w:r>
      <w:proofErr w:type="spellStart"/>
      <w:r w:rsidRPr="00D0315A">
        <w:rPr>
          <w:i/>
          <w:lang w:val="en-US"/>
        </w:rPr>
        <w:t>Cornelissen</w:t>
      </w:r>
      <w:r w:rsidRPr="00D0315A">
        <w:rPr>
          <w:i/>
          <w:vertAlign w:val="superscript"/>
          <w:lang w:val="en-US"/>
        </w:rPr>
        <w:t>a,d,e</w:t>
      </w:r>
      <w:proofErr w:type="spellEnd"/>
    </w:p>
    <w:p w14:paraId="4B057CF1" w14:textId="77777777" w:rsidR="00D0315A" w:rsidRDefault="00D0315A" w:rsidP="00D0315A">
      <w:pPr>
        <w:spacing w:line="240" w:lineRule="auto"/>
        <w:rPr>
          <w:lang w:val="en-US"/>
        </w:rPr>
      </w:pPr>
      <w:r w:rsidRPr="00D0315A">
        <w:rPr>
          <w:vertAlign w:val="superscript"/>
          <w:lang w:val="en-US"/>
        </w:rPr>
        <w:t xml:space="preserve">a </w:t>
      </w:r>
      <w:proofErr w:type="spellStart"/>
      <w:r>
        <w:rPr>
          <w:lang w:val="en-US"/>
        </w:rPr>
        <w:t>PaInT</w:t>
      </w:r>
      <w:proofErr w:type="spellEnd"/>
      <w:r>
        <w:rPr>
          <w:lang w:val="en-US"/>
        </w:rPr>
        <w:t xml:space="preserve">, Particle and Interfacial Technology group, Department of Green Chemistry and Technology, Faculty of Bioscience Engineering, Ghent University, </w:t>
      </w:r>
      <w:proofErr w:type="spellStart"/>
      <w:r>
        <w:rPr>
          <w:lang w:val="en-US"/>
        </w:rPr>
        <w:t>Coupure</w:t>
      </w:r>
      <w:proofErr w:type="spellEnd"/>
      <w:r>
        <w:rPr>
          <w:lang w:val="en-US"/>
        </w:rPr>
        <w:t xml:space="preserve"> Links 653, 9000 Ghent, Belgium</w:t>
      </w:r>
    </w:p>
    <w:p w14:paraId="2C971693" w14:textId="77777777" w:rsidR="00D0315A" w:rsidRPr="002D62A1" w:rsidRDefault="00D0315A" w:rsidP="00D0315A">
      <w:pPr>
        <w:spacing w:line="240" w:lineRule="auto"/>
        <w:rPr>
          <w:lang w:val="fr-FR"/>
        </w:rPr>
      </w:pPr>
      <w:r w:rsidRPr="002D62A1">
        <w:rPr>
          <w:vertAlign w:val="superscript"/>
          <w:lang w:val="fr-FR"/>
        </w:rPr>
        <w:t xml:space="preserve">b </w:t>
      </w:r>
      <w:r w:rsidRPr="002D62A1">
        <w:rPr>
          <w:lang w:val="fr-FR"/>
        </w:rPr>
        <w:t>Univ. Lille, CNRS, UMR 8516 - LASIRE, Laboratoire Avancé de Spectroscopie pour les Interactions, la Réactivité et l’Environnement F-59000 Lille, France</w:t>
      </w:r>
    </w:p>
    <w:p w14:paraId="3B49C3E5" w14:textId="77777777" w:rsidR="00D0315A" w:rsidRDefault="00D0315A" w:rsidP="00D0315A">
      <w:pPr>
        <w:spacing w:line="240" w:lineRule="auto"/>
        <w:rPr>
          <w:lang w:val="en-US"/>
        </w:rPr>
      </w:pPr>
      <w:r w:rsidRPr="00D0315A">
        <w:rPr>
          <w:vertAlign w:val="superscript"/>
          <w:lang w:val="en-US"/>
        </w:rPr>
        <w:t xml:space="preserve">c </w:t>
      </w:r>
      <w:r w:rsidRPr="002D62A1">
        <w:rPr>
          <w:lang w:val="en-US"/>
        </w:rPr>
        <w:t xml:space="preserve">Univ. Lille, </w:t>
      </w:r>
      <w:proofErr w:type="spellStart"/>
      <w:r w:rsidRPr="002D62A1">
        <w:rPr>
          <w:lang w:val="en-US"/>
        </w:rPr>
        <w:t>Inserm</w:t>
      </w:r>
      <w:proofErr w:type="spellEnd"/>
      <w:r w:rsidRPr="002D62A1">
        <w:rPr>
          <w:lang w:val="en-US"/>
        </w:rPr>
        <w:t>, CHU Lille, U1286 - INFINITE - Institute for Translational Research in Inflammation, F-59000 Lille, France</w:t>
      </w:r>
    </w:p>
    <w:p w14:paraId="17ECEE67" w14:textId="55B8A56B" w:rsidR="00D0315A" w:rsidRPr="00D0315A" w:rsidRDefault="00D0315A" w:rsidP="00D0315A">
      <w:pPr>
        <w:pStyle w:val="Plattetekst"/>
        <w:spacing w:after="0" w:line="240" w:lineRule="auto"/>
        <w:jc w:val="both"/>
        <w:rPr>
          <w:sz w:val="22"/>
          <w:lang w:val="en-US"/>
        </w:rPr>
      </w:pPr>
      <w:r w:rsidRPr="00D0315A">
        <w:rPr>
          <w:sz w:val="22"/>
          <w:vertAlign w:val="superscript"/>
          <w:lang w:val="en-US"/>
        </w:rPr>
        <w:t>d</w:t>
      </w:r>
      <w:r>
        <w:rPr>
          <w:sz w:val="22"/>
          <w:vertAlign w:val="superscript"/>
          <w:lang w:val="en-US"/>
        </w:rPr>
        <w:t xml:space="preserve"> </w:t>
      </w:r>
      <w:r w:rsidRPr="00A65646">
        <w:rPr>
          <w:sz w:val="22"/>
          <w:lang w:val="en-US"/>
        </w:rPr>
        <w:t xml:space="preserve">Centre for Advanced Process Technology for Urban Resource Recovery (CAPTURE), </w:t>
      </w:r>
      <w:hyperlink r:id="rId4" w:history="1">
        <w:r w:rsidRPr="00D0315A">
          <w:rPr>
            <w:lang w:val="en-US"/>
          </w:rPr>
          <w:t>www.capture-resources.be</w:t>
        </w:r>
      </w:hyperlink>
      <w:r w:rsidRPr="00A65646">
        <w:rPr>
          <w:sz w:val="22"/>
          <w:lang w:val="en-US"/>
        </w:rPr>
        <w:t>, Belgium</w:t>
      </w:r>
    </w:p>
    <w:p w14:paraId="7782A075" w14:textId="77777777" w:rsidR="00D0315A" w:rsidRPr="00D0315A" w:rsidRDefault="00D0315A" w:rsidP="00D0315A">
      <w:pPr>
        <w:pStyle w:val="Plattetekst"/>
        <w:spacing w:after="0" w:line="240" w:lineRule="auto"/>
        <w:jc w:val="both"/>
        <w:rPr>
          <w:sz w:val="22"/>
          <w:lang w:val="en-US"/>
        </w:rPr>
      </w:pPr>
    </w:p>
    <w:p w14:paraId="6952ADCD" w14:textId="51B4C8D8" w:rsidR="00D0315A" w:rsidRPr="002D62A1" w:rsidRDefault="00D0315A" w:rsidP="00D0315A">
      <w:pPr>
        <w:spacing w:line="240" w:lineRule="auto"/>
      </w:pPr>
      <w:r w:rsidRPr="002D62A1">
        <w:rPr>
          <w:vertAlign w:val="superscript"/>
        </w:rPr>
        <w:t xml:space="preserve">e </w:t>
      </w:r>
      <w:r w:rsidRPr="002D62A1">
        <w:t xml:space="preserve">KWR Water Research </w:t>
      </w:r>
      <w:proofErr w:type="spellStart"/>
      <w:r w:rsidRPr="002D62A1">
        <w:t>Institute</w:t>
      </w:r>
      <w:proofErr w:type="spellEnd"/>
      <w:r w:rsidRPr="002D62A1">
        <w:t>, Groningenhaven 7, 3433 PE Nieuwegein, Netherlands</w:t>
      </w:r>
    </w:p>
    <w:p w14:paraId="1F89F810" w14:textId="77777777" w:rsidR="00D0315A" w:rsidRPr="002D62A1" w:rsidRDefault="00D0315A" w:rsidP="00D0315A">
      <w:pPr>
        <w:spacing w:line="240" w:lineRule="auto"/>
      </w:pPr>
    </w:p>
    <w:p w14:paraId="79EADF54" w14:textId="2EB786A2" w:rsidR="00D0315A" w:rsidRPr="00D0315A" w:rsidRDefault="00D0315A" w:rsidP="00D0315A">
      <w:pPr>
        <w:spacing w:line="240" w:lineRule="auto"/>
        <w:rPr>
          <w:b/>
          <w:lang w:val="en-US"/>
        </w:rPr>
      </w:pPr>
      <w:r w:rsidRPr="00D0315A">
        <w:rPr>
          <w:b/>
          <w:lang w:val="en-US"/>
        </w:rPr>
        <w:t>Introduction</w:t>
      </w:r>
    </w:p>
    <w:p w14:paraId="418C0AF9" w14:textId="5A42E5F0" w:rsidR="007A262C" w:rsidRDefault="00693354" w:rsidP="00112734">
      <w:pPr>
        <w:spacing w:line="360" w:lineRule="auto"/>
        <w:jc w:val="both"/>
        <w:rPr>
          <w:lang w:val="en-US"/>
        </w:rPr>
      </w:pPr>
      <w:r>
        <w:rPr>
          <w:lang w:val="en-US"/>
        </w:rPr>
        <w:t>Natural organic matter (NOM), contained in drinking water resources</w:t>
      </w:r>
      <w:r w:rsidR="007A262C">
        <w:rPr>
          <w:lang w:val="en-US"/>
        </w:rPr>
        <w:t>,</w:t>
      </w:r>
      <w:r>
        <w:rPr>
          <w:lang w:val="en-US"/>
        </w:rPr>
        <w:t xml:space="preserve"> </w:t>
      </w:r>
      <w:r w:rsidR="00112734">
        <w:rPr>
          <w:lang w:val="en-US"/>
        </w:rPr>
        <w:t xml:space="preserve">negatively affects drinking water quality by acting as nutrients for bacterial regrowth in the distribution system. Chlorine is </w:t>
      </w:r>
      <w:r w:rsidR="00654C86">
        <w:rPr>
          <w:lang w:val="en-US"/>
        </w:rPr>
        <w:t>a common</w:t>
      </w:r>
      <w:r w:rsidR="00112734">
        <w:rPr>
          <w:lang w:val="en-US"/>
        </w:rPr>
        <w:t xml:space="preserve"> disinfectant to inactivate pathogens, but </w:t>
      </w:r>
      <w:r w:rsidR="004B52DD">
        <w:rPr>
          <w:lang w:val="en-US"/>
        </w:rPr>
        <w:t>it</w:t>
      </w:r>
      <w:r w:rsidR="00112734">
        <w:rPr>
          <w:lang w:val="en-US"/>
        </w:rPr>
        <w:t xml:space="preserve"> also react</w:t>
      </w:r>
      <w:r w:rsidR="00654C86">
        <w:rPr>
          <w:lang w:val="en-US"/>
        </w:rPr>
        <w:t>s</w:t>
      </w:r>
      <w:r w:rsidR="00112734">
        <w:rPr>
          <w:lang w:val="en-US"/>
        </w:rPr>
        <w:t xml:space="preserve"> with NOM</w:t>
      </w:r>
      <w:r>
        <w:rPr>
          <w:lang w:val="en-US"/>
        </w:rPr>
        <w:t xml:space="preserve"> </w:t>
      </w:r>
      <w:r w:rsidR="001661E0">
        <w:rPr>
          <w:lang w:val="en-US"/>
        </w:rPr>
        <w:t xml:space="preserve">during disinfection </w:t>
      </w:r>
      <w:r>
        <w:rPr>
          <w:lang w:val="en-US"/>
        </w:rPr>
        <w:t>to form disinfection by-products</w:t>
      </w:r>
      <w:r w:rsidR="00654C86">
        <w:rPr>
          <w:lang w:val="en-US"/>
        </w:rPr>
        <w:t>,</w:t>
      </w:r>
      <w:r w:rsidR="004B52DD">
        <w:rPr>
          <w:lang w:val="en-US"/>
        </w:rPr>
        <w:t xml:space="preserve"> which are </w:t>
      </w:r>
      <w:r w:rsidR="00EB574E">
        <w:rPr>
          <w:lang w:val="en-US"/>
        </w:rPr>
        <w:t>correlated</w:t>
      </w:r>
      <w:r w:rsidR="004B52DD">
        <w:rPr>
          <w:lang w:val="en-US"/>
        </w:rPr>
        <w:t xml:space="preserve"> with health issues such as cancer</w:t>
      </w:r>
      <w:r>
        <w:rPr>
          <w:lang w:val="en-US"/>
        </w:rPr>
        <w:t xml:space="preserve">. </w:t>
      </w:r>
      <w:r w:rsidR="004B52DD">
        <w:rPr>
          <w:lang w:val="en-US"/>
        </w:rPr>
        <w:t>To identify the precursors that are responsible for the formation of these by-products</w:t>
      </w:r>
      <w:r w:rsidR="00560542" w:rsidRPr="00560542">
        <w:rPr>
          <w:lang w:val="en-US"/>
        </w:rPr>
        <w:t xml:space="preserve"> </w:t>
      </w:r>
      <w:r w:rsidR="00560542">
        <w:rPr>
          <w:lang w:val="en-US"/>
        </w:rPr>
        <w:t>from the complex NOM mixture</w:t>
      </w:r>
      <w:r w:rsidR="00881421">
        <w:rPr>
          <w:lang w:val="en-US"/>
        </w:rPr>
        <w:t xml:space="preserve">, </w:t>
      </w:r>
      <w:r w:rsidR="00EB574E">
        <w:rPr>
          <w:lang w:val="en-US"/>
        </w:rPr>
        <w:t>th</w:t>
      </w:r>
      <w:r w:rsidR="00560542">
        <w:rPr>
          <w:lang w:val="en-US"/>
        </w:rPr>
        <w:t xml:space="preserve">e latter </w:t>
      </w:r>
      <w:r w:rsidR="007A262C">
        <w:rPr>
          <w:lang w:val="en-US"/>
        </w:rPr>
        <w:t>is split into smaller fractions with similar</w:t>
      </w:r>
      <w:r w:rsidR="004B52DD">
        <w:rPr>
          <w:lang w:val="en-US"/>
        </w:rPr>
        <w:t xml:space="preserve"> chemical or physical </w:t>
      </w:r>
      <w:r w:rsidR="007A262C">
        <w:rPr>
          <w:lang w:val="en-US"/>
        </w:rPr>
        <w:t>properties. Dead-end ultrafiltration membrane fractionation is the most commonly used technique to split NOM by size, but is unable to produce sharply separated fractions.</w:t>
      </w:r>
      <w:r w:rsidR="005125B3">
        <w:rPr>
          <w:lang w:val="en-US"/>
        </w:rPr>
        <w:t xml:space="preserve"> Therefore, </w:t>
      </w:r>
      <w:r w:rsidR="007A262C">
        <w:rPr>
          <w:lang w:val="en-US"/>
        </w:rPr>
        <w:t>this research</w:t>
      </w:r>
      <w:r w:rsidR="005125B3">
        <w:rPr>
          <w:lang w:val="en-US"/>
        </w:rPr>
        <w:t xml:space="preserve"> will seek for a</w:t>
      </w:r>
      <w:r w:rsidR="007A262C">
        <w:rPr>
          <w:lang w:val="en-US"/>
        </w:rPr>
        <w:t xml:space="preserve"> </w:t>
      </w:r>
      <w:r w:rsidR="005125B3">
        <w:rPr>
          <w:lang w:val="en-US"/>
        </w:rPr>
        <w:t xml:space="preserve">new </w:t>
      </w:r>
      <w:r w:rsidR="007A262C">
        <w:rPr>
          <w:lang w:val="en-US"/>
        </w:rPr>
        <w:t>membrane fractionation method t</w:t>
      </w:r>
      <w:r w:rsidR="00EB574E">
        <w:rPr>
          <w:lang w:val="en-US"/>
        </w:rPr>
        <w:t>hat</w:t>
      </w:r>
      <w:r w:rsidR="007A262C">
        <w:rPr>
          <w:lang w:val="en-US"/>
        </w:rPr>
        <w:t xml:space="preserve"> separate NOM into biopolymers, </w:t>
      </w:r>
      <w:proofErr w:type="spellStart"/>
      <w:r w:rsidR="007A262C">
        <w:rPr>
          <w:lang w:val="en-US"/>
        </w:rPr>
        <w:t>humic</w:t>
      </w:r>
      <w:proofErr w:type="spellEnd"/>
      <w:r w:rsidR="007A262C">
        <w:rPr>
          <w:lang w:val="en-US"/>
        </w:rPr>
        <w:t xml:space="preserve"> substances and low, molecular weight compounds</w:t>
      </w:r>
      <w:r w:rsidR="00EB574E">
        <w:rPr>
          <w:lang w:val="en-US"/>
        </w:rPr>
        <w:t>. Subsequently, their reactivity towards chlorine and the formation of disinfection by-products will be determined</w:t>
      </w:r>
      <w:r w:rsidR="005125B3">
        <w:rPr>
          <w:lang w:val="en-US"/>
        </w:rPr>
        <w:t xml:space="preserve">. </w:t>
      </w:r>
    </w:p>
    <w:p w14:paraId="348DCD7F" w14:textId="77777777" w:rsidR="007A262C" w:rsidRPr="007A262C" w:rsidRDefault="007A262C" w:rsidP="00693354">
      <w:pPr>
        <w:jc w:val="both"/>
        <w:rPr>
          <w:b/>
          <w:lang w:val="en-US"/>
        </w:rPr>
      </w:pPr>
      <w:r w:rsidRPr="007A262C">
        <w:rPr>
          <w:b/>
          <w:lang w:val="en-US"/>
        </w:rPr>
        <w:t>Material and Methods</w:t>
      </w:r>
    </w:p>
    <w:p w14:paraId="6D112CA1" w14:textId="15BDA2CB" w:rsidR="00861223" w:rsidRDefault="00560542" w:rsidP="00EB574E">
      <w:pPr>
        <w:spacing w:line="360" w:lineRule="auto"/>
        <w:jc w:val="both"/>
        <w:rPr>
          <w:lang w:val="en-US"/>
        </w:rPr>
      </w:pPr>
      <w:r>
        <w:rPr>
          <w:lang w:val="en-US"/>
        </w:rPr>
        <w:t>During fractionation</w:t>
      </w:r>
      <w:r w:rsidR="00861223">
        <w:rPr>
          <w:lang w:val="en-US"/>
        </w:rPr>
        <w:t xml:space="preserve">, both a normal filtration step and a </w:t>
      </w:r>
      <w:proofErr w:type="spellStart"/>
      <w:r w:rsidR="00861223">
        <w:rPr>
          <w:lang w:val="en-US"/>
        </w:rPr>
        <w:t>diafiltration</w:t>
      </w:r>
      <w:proofErr w:type="spellEnd"/>
      <w:r w:rsidR="00861223">
        <w:rPr>
          <w:lang w:val="en-US"/>
        </w:rPr>
        <w:t xml:space="preserve"> step is executed. A model was constructed that predicts the concentration change </w:t>
      </w:r>
      <w:r>
        <w:rPr>
          <w:lang w:val="en-US"/>
        </w:rPr>
        <w:t xml:space="preserve">for a certain compound </w:t>
      </w:r>
      <w:r w:rsidR="00861223">
        <w:rPr>
          <w:lang w:val="en-US"/>
        </w:rPr>
        <w:t>during these two steps and was validated with a nanofiltration (</w:t>
      </w:r>
      <w:r w:rsidR="00D0315A">
        <w:rPr>
          <w:lang w:val="en-US"/>
        </w:rPr>
        <w:t xml:space="preserve">Dow </w:t>
      </w:r>
      <w:r w:rsidR="00861223">
        <w:rPr>
          <w:lang w:val="en-US"/>
        </w:rPr>
        <w:t>NF270). The model will be used to determine the time needed to have a good separation of the organic compounds for a certain water source.</w:t>
      </w:r>
    </w:p>
    <w:p w14:paraId="271B0E94" w14:textId="540B0C85" w:rsidR="002D62A1" w:rsidRDefault="002D62A1" w:rsidP="00EB574E">
      <w:pPr>
        <w:spacing w:line="360" w:lineRule="auto"/>
        <w:jc w:val="both"/>
        <w:rPr>
          <w:lang w:val="en-US"/>
        </w:rPr>
      </w:pPr>
    </w:p>
    <w:p w14:paraId="46EC3277" w14:textId="6E58EB80" w:rsidR="002D62A1" w:rsidRDefault="002D62A1" w:rsidP="00EB574E">
      <w:pPr>
        <w:spacing w:line="360" w:lineRule="auto"/>
        <w:jc w:val="both"/>
        <w:rPr>
          <w:lang w:val="en-US"/>
        </w:rPr>
      </w:pPr>
    </w:p>
    <w:p w14:paraId="644F7965" w14:textId="77777777" w:rsidR="002D62A1" w:rsidRDefault="002D62A1" w:rsidP="00EB574E">
      <w:pPr>
        <w:spacing w:line="360" w:lineRule="auto"/>
        <w:jc w:val="both"/>
        <w:rPr>
          <w:lang w:val="en-US"/>
        </w:rPr>
      </w:pPr>
    </w:p>
    <w:p w14:paraId="1618AECD" w14:textId="2D5CDAAE" w:rsidR="00ED1D73" w:rsidRPr="00560542" w:rsidRDefault="00AC1BD1" w:rsidP="00ED1D73">
      <w:pPr>
        <w:spacing w:line="240" w:lineRule="auto"/>
        <w:jc w:val="both"/>
        <w:rPr>
          <w:rFonts w:eastAsiaTheme="minorEastAsia"/>
          <w:lang w:val="fr-FR"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fr-FR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fr-FR"/>
                      </w:rPr>
                      <m:t>,0</m:t>
                    </m:r>
                  </m:sub>
                </m:sSub>
              </m:den>
            </m:f>
          </m:e>
        </m:func>
        <m:r>
          <m:rPr>
            <m:sty m:val="p"/>
          </m:rPr>
          <w:rPr>
            <w:rFonts w:ascii="Cambria Math" w:eastAsiaTheme="minorEastAsia" w:hAnsi="Cambria Math"/>
            <w:lang w:val="fr-FR"/>
          </w:rPr>
          <m:t>= -</m:t>
        </m:r>
        <m:r>
          <m:rPr>
            <m:sty m:val="bi"/>
          </m:rPr>
          <w:rPr>
            <w:rFonts w:ascii="Cambria Math" w:eastAsiaTheme="minorEastAsia" w:hAnsi="Cambria Math"/>
          </w:rPr>
          <m:t>R</m:t>
        </m:r>
        <m:r>
          <m:rPr>
            <m:sty m:val="p"/>
          </m:rPr>
          <w:rPr>
            <w:rFonts w:ascii="Cambria Math" w:eastAsiaTheme="minorEastAsia" w:hAnsi="Cambria Math"/>
            <w:lang w:val="fr-FR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fr-FR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fr-FR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fr-FR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</m:oMath>
      <w:r w:rsidR="00ED1D73" w:rsidRPr="00560542">
        <w:rPr>
          <w:rFonts w:eastAsiaTheme="minorEastAsia"/>
          <w:lang w:val="fr-FR"/>
        </w:rPr>
        <w:t xml:space="preserve"> (</w:t>
      </w:r>
      <w:r w:rsidR="00560542" w:rsidRPr="00560542">
        <w:rPr>
          <w:rFonts w:eastAsiaTheme="minorEastAsia"/>
          <w:lang w:val="fr-FR"/>
        </w:rPr>
        <w:t>normal filtration</w:t>
      </w:r>
      <w:r w:rsidR="00ED1D73" w:rsidRPr="00560542">
        <w:rPr>
          <w:rFonts w:eastAsiaTheme="minorEastAsia"/>
          <w:lang w:val="fr-FR"/>
        </w:rPr>
        <w:t>)</w:t>
      </w:r>
    </w:p>
    <w:p w14:paraId="4BF69C54" w14:textId="77777777" w:rsidR="00ED1D73" w:rsidRPr="00560542" w:rsidRDefault="00ED1D73" w:rsidP="00ED1D73">
      <w:pPr>
        <w:spacing w:line="240" w:lineRule="auto"/>
        <w:jc w:val="both"/>
        <w:rPr>
          <w:lang w:val="fr-FR"/>
        </w:rPr>
      </w:pPr>
    </w:p>
    <w:p w14:paraId="4ED822A6" w14:textId="2B3CDB6D" w:rsidR="00ED1D73" w:rsidRPr="00560542" w:rsidRDefault="00AC1BD1" w:rsidP="00693354">
      <w:pPr>
        <w:jc w:val="both"/>
        <w:rPr>
          <w:rFonts w:eastAsiaTheme="minorEastAsia"/>
          <w:bCs/>
          <w:iCs/>
          <w:lang w:val="fr-FR"/>
        </w:rPr>
      </w:pPr>
      <m:oMath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fr-FR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func>
        <m:r>
          <m:rPr>
            <m:sty m:val="b"/>
          </m:rPr>
          <w:rPr>
            <w:rFonts w:ascii="Cambria Math" w:hAnsi="Cambria Math"/>
            <w:lang w:val="fr-FR"/>
          </w:rPr>
          <m:t>= 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"/>
              </m:rPr>
              <w:rPr>
                <w:rFonts w:ascii="Cambria Math" w:hAnsi="Cambria Math"/>
                <w:lang w:val="fr-FR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1</m:t>
            </m:r>
          </m:e>
        </m:d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lang w:val="fr-FR"/>
          </w:rPr>
          <m:t>*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ED1D73" w:rsidRPr="00560542">
        <w:rPr>
          <w:rFonts w:eastAsiaTheme="minorEastAsia"/>
          <w:b/>
          <w:bCs/>
          <w:iCs/>
          <w:lang w:val="fr-FR"/>
        </w:rPr>
        <w:t xml:space="preserve"> </w:t>
      </w:r>
      <w:r w:rsidR="00ED1D73" w:rsidRPr="00560542">
        <w:rPr>
          <w:rFonts w:eastAsiaTheme="minorEastAsia"/>
          <w:bCs/>
          <w:iCs/>
          <w:lang w:val="fr-FR"/>
        </w:rPr>
        <w:t>(</w:t>
      </w:r>
      <w:proofErr w:type="spellStart"/>
      <w:r w:rsidR="00560542" w:rsidRPr="00560542">
        <w:rPr>
          <w:rFonts w:eastAsiaTheme="minorEastAsia"/>
          <w:bCs/>
          <w:iCs/>
          <w:lang w:val="fr-FR"/>
        </w:rPr>
        <w:t>diafiltration</w:t>
      </w:r>
      <w:proofErr w:type="spellEnd"/>
      <w:r w:rsidR="00ED1D73" w:rsidRPr="00560542">
        <w:rPr>
          <w:rFonts w:eastAsiaTheme="minorEastAsia"/>
          <w:bCs/>
          <w:iCs/>
          <w:lang w:val="fr-FR"/>
        </w:rPr>
        <w:t>)</w:t>
      </w:r>
    </w:p>
    <w:p w14:paraId="54B615DE" w14:textId="425E4131" w:rsidR="00ED1D73" w:rsidRDefault="00ED1D73" w:rsidP="00E113F3">
      <w:pPr>
        <w:spacing w:line="360" w:lineRule="auto"/>
        <w:jc w:val="both"/>
        <w:rPr>
          <w:lang w:val="en-US"/>
        </w:rPr>
      </w:pPr>
      <w:r w:rsidRPr="00ED1D73">
        <w:rPr>
          <w:lang w:val="en-US"/>
        </w:rPr>
        <w:t xml:space="preserve">With </w:t>
      </w:r>
      <w:proofErr w:type="spellStart"/>
      <w:r w:rsidRPr="00ED1D73">
        <w:rPr>
          <w:lang w:val="en-US"/>
        </w:rPr>
        <w:t>C</w:t>
      </w:r>
      <w:r w:rsidRPr="00ED1D73">
        <w:rPr>
          <w:vertAlign w:val="subscript"/>
          <w:lang w:val="en-US"/>
        </w:rPr>
        <w:t>f</w:t>
      </w:r>
      <w:proofErr w:type="spellEnd"/>
      <w:r w:rsidRPr="00ED1D73">
        <w:rPr>
          <w:lang w:val="en-US"/>
        </w:rPr>
        <w:t xml:space="preserve"> the concentration o</w:t>
      </w:r>
      <w:r>
        <w:rPr>
          <w:lang w:val="en-US"/>
        </w:rPr>
        <w:t xml:space="preserve">f </w:t>
      </w:r>
      <w:r w:rsidR="0064500F">
        <w:rPr>
          <w:lang w:val="en-US"/>
        </w:rPr>
        <w:t>the compound in the</w:t>
      </w:r>
      <w:r>
        <w:rPr>
          <w:lang w:val="en-US"/>
        </w:rPr>
        <w:t xml:space="preserve"> feed</w:t>
      </w:r>
      <w:r w:rsidR="0064500F">
        <w:rPr>
          <w:lang w:val="en-US"/>
        </w:rPr>
        <w:t xml:space="preserve"> </w:t>
      </w:r>
      <w:r>
        <w:rPr>
          <w:lang w:val="en-US"/>
        </w:rPr>
        <w:t xml:space="preserve">tank, R the retention, </w:t>
      </w:r>
      <w:proofErr w:type="spellStart"/>
      <w:r>
        <w:rPr>
          <w:lang w:val="en-US"/>
        </w:rPr>
        <w:t>Q</w:t>
      </w:r>
      <w:r w:rsidRPr="00ED1D73">
        <w:rPr>
          <w:vertAlign w:val="subscript"/>
          <w:lang w:val="en-US"/>
        </w:rPr>
        <w:t>p</w:t>
      </w:r>
      <w:proofErr w:type="spellEnd"/>
      <w:r w:rsidRPr="00ED1D73">
        <w:rPr>
          <w:vertAlign w:val="subscript"/>
          <w:lang w:val="en-US"/>
        </w:rPr>
        <w:t xml:space="preserve"> </w:t>
      </w:r>
      <w:r>
        <w:rPr>
          <w:lang w:val="en-US"/>
        </w:rPr>
        <w:t>the flowrate and V</w:t>
      </w:r>
      <w:r w:rsidRPr="00ED1D73">
        <w:rPr>
          <w:vertAlign w:val="subscript"/>
          <w:lang w:val="en-US"/>
        </w:rPr>
        <w:t>0</w:t>
      </w:r>
      <w:r>
        <w:rPr>
          <w:lang w:val="en-US"/>
        </w:rPr>
        <w:t xml:space="preserve"> the </w:t>
      </w:r>
      <w:r w:rsidR="00EB574E">
        <w:rPr>
          <w:lang w:val="en-US"/>
        </w:rPr>
        <w:t>initial</w:t>
      </w:r>
      <w:r>
        <w:rPr>
          <w:lang w:val="en-US"/>
        </w:rPr>
        <w:t xml:space="preserve"> </w:t>
      </w:r>
      <w:r w:rsidR="00EB574E">
        <w:rPr>
          <w:lang w:val="en-US"/>
        </w:rPr>
        <w:t>feed</w:t>
      </w:r>
      <w:r w:rsidR="00F732D9">
        <w:rPr>
          <w:lang w:val="en-US"/>
        </w:rPr>
        <w:t xml:space="preserve"> </w:t>
      </w:r>
      <w:r>
        <w:rPr>
          <w:lang w:val="en-US"/>
        </w:rPr>
        <w:t>volume.</w:t>
      </w:r>
    </w:p>
    <w:p w14:paraId="6E983268" w14:textId="029FA057" w:rsidR="00DC0344" w:rsidRDefault="00DC0344" w:rsidP="00E113F3">
      <w:pPr>
        <w:spacing w:line="360" w:lineRule="auto"/>
        <w:jc w:val="both"/>
        <w:rPr>
          <w:b/>
          <w:lang w:val="en-US"/>
        </w:rPr>
      </w:pPr>
      <w:r w:rsidRPr="00DC0344">
        <w:rPr>
          <w:b/>
          <w:lang w:val="en-US"/>
        </w:rPr>
        <w:t xml:space="preserve">Results and </w:t>
      </w:r>
      <w:r w:rsidR="005125B3">
        <w:rPr>
          <w:b/>
          <w:lang w:val="en-US"/>
        </w:rPr>
        <w:t>Conclusion</w:t>
      </w:r>
    </w:p>
    <w:p w14:paraId="3AA09A3A" w14:textId="348A8D5F" w:rsidR="00654C86" w:rsidRPr="00F732D9" w:rsidRDefault="005125B3" w:rsidP="00F732D9">
      <w:pPr>
        <w:spacing w:line="360" w:lineRule="auto"/>
        <w:jc w:val="both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>
        <w:rPr>
          <w:lang w:val="en-US"/>
        </w:rPr>
        <w:t>Figure 1 clearly shows that the model fits the</w:t>
      </w:r>
      <w:r w:rsidR="00654C86">
        <w:rPr>
          <w:lang w:val="en-US"/>
        </w:rPr>
        <w:t xml:space="preserve"> experimental</w:t>
      </w:r>
      <w:r>
        <w:rPr>
          <w:lang w:val="en-US"/>
        </w:rPr>
        <w:t xml:space="preserve"> data very well</w:t>
      </w:r>
      <w:r w:rsidR="00654C86">
        <w:rPr>
          <w:lang w:val="en-US"/>
        </w:rPr>
        <w:t xml:space="preserve"> during normal filtration mode </w:t>
      </w:r>
      <w:r>
        <w:rPr>
          <w:lang w:val="en-US"/>
        </w:rPr>
        <w:t>(</w:t>
      </w:r>
      <w:proofErr w:type="spellStart"/>
      <w:r>
        <w:rPr>
          <w:lang w:val="en-US"/>
        </w:rPr>
        <w:t>a,b</w:t>
      </w:r>
      <w:proofErr w:type="spellEnd"/>
      <w:r>
        <w:rPr>
          <w:lang w:val="en-US"/>
        </w:rPr>
        <w:t>).</w:t>
      </w:r>
      <w:r w:rsidR="00654C86">
        <w:rPr>
          <w:lang w:val="en-US"/>
        </w:rPr>
        <w:t xml:space="preserve"> </w:t>
      </w:r>
      <w:r w:rsidR="00F60E93">
        <w:rPr>
          <w:lang w:val="en-US"/>
        </w:rPr>
        <w:t xml:space="preserve">The fit during </w:t>
      </w:r>
      <w:proofErr w:type="spellStart"/>
      <w:r w:rsidR="00F60E93">
        <w:rPr>
          <w:lang w:val="en-US"/>
        </w:rPr>
        <w:t>diafiltration</w:t>
      </w:r>
      <w:proofErr w:type="spellEnd"/>
      <w:r w:rsidR="00F60E93">
        <w:rPr>
          <w:lang w:val="en-US"/>
        </w:rPr>
        <w:t xml:space="preserve"> is less accurate, but is </w:t>
      </w:r>
      <w:r w:rsidR="00AE3C4C">
        <w:rPr>
          <w:lang w:val="en-US"/>
        </w:rPr>
        <w:t xml:space="preserve">rather </w:t>
      </w:r>
      <w:r w:rsidR="00F60E93">
        <w:rPr>
          <w:lang w:val="en-US"/>
        </w:rPr>
        <w:t>explained</w:t>
      </w:r>
      <w:r w:rsidR="00AE3C4C">
        <w:rPr>
          <w:lang w:val="en-US"/>
        </w:rPr>
        <w:t xml:space="preserve"> by experimental variation (discontinuous adjustment of feed</w:t>
      </w:r>
      <w:r w:rsidR="00F732D9">
        <w:rPr>
          <w:lang w:val="en-US"/>
        </w:rPr>
        <w:t xml:space="preserve"> </w:t>
      </w:r>
      <w:r w:rsidR="00AE3C4C">
        <w:rPr>
          <w:lang w:val="en-US"/>
        </w:rPr>
        <w:t>volume).</w:t>
      </w:r>
      <w:r w:rsidR="00654C86">
        <w:rPr>
          <w:lang w:val="en-US"/>
        </w:rPr>
        <w:t xml:space="preserve"> </w:t>
      </w:r>
      <w:r w:rsidR="00E113F3" w:rsidRPr="00E113F3">
        <w:rPr>
          <w:lang w:val="en-US"/>
        </w:rPr>
        <w:t xml:space="preserve">The model will be </w:t>
      </w:r>
      <w:r w:rsidR="00F732D9">
        <w:rPr>
          <w:lang w:val="en-US"/>
        </w:rPr>
        <w:t xml:space="preserve">equally </w:t>
      </w:r>
      <w:r w:rsidR="00E113F3" w:rsidRPr="00E113F3">
        <w:rPr>
          <w:lang w:val="en-US"/>
        </w:rPr>
        <w:t>validated with NOM concentrations and used to optimize membrane fractionation conditions</w:t>
      </w:r>
      <w:r w:rsidR="00E113F3">
        <w:rPr>
          <w:lang w:val="en-US"/>
        </w:rPr>
        <w:t>.</w:t>
      </w:r>
    </w:p>
    <w:p w14:paraId="13F4F55C" w14:textId="324B1959" w:rsidR="00651546" w:rsidRDefault="00A80CC2" w:rsidP="00651546">
      <w:pPr>
        <w:keepNext/>
        <w:jc w:val="center"/>
      </w:pPr>
      <w:bookmarkStart w:id="0" w:name="_GoBack"/>
      <w:r>
        <w:rPr>
          <w:noProof/>
        </w:rPr>
        <w:drawing>
          <wp:inline distT="0" distB="0" distL="0" distR="0" wp14:anchorId="06182D33" wp14:editId="277818C8">
            <wp:extent cx="5516880" cy="3940629"/>
            <wp:effectExtent l="0" t="0" r="762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EUROMEMBRANE_Coup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99" cy="39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4C18E0" w14:textId="0F7CF7AF" w:rsidR="003F583E" w:rsidRPr="005125B3" w:rsidRDefault="00651546" w:rsidP="005125B3">
      <w:pPr>
        <w:pStyle w:val="Bijschrift"/>
        <w:jc w:val="both"/>
        <w:rPr>
          <w:b/>
          <w:lang w:val="en-US"/>
        </w:rPr>
      </w:pPr>
      <w:r w:rsidRPr="00861223">
        <w:rPr>
          <w:lang w:val="en-US"/>
        </w:rPr>
        <w:t xml:space="preserve">Figure </w:t>
      </w:r>
      <w:r>
        <w:fldChar w:fldCharType="begin"/>
      </w:r>
      <w:r w:rsidRPr="00861223">
        <w:rPr>
          <w:lang w:val="en-US"/>
        </w:rPr>
        <w:instrText xml:space="preserve"> SEQ Figure \* ARABIC </w:instrText>
      </w:r>
      <w:r>
        <w:fldChar w:fldCharType="separate"/>
      </w:r>
      <w:r w:rsidRPr="00861223">
        <w:rPr>
          <w:noProof/>
          <w:lang w:val="en-US"/>
        </w:rPr>
        <w:t>1</w:t>
      </w:r>
      <w:r>
        <w:fldChar w:fldCharType="end"/>
      </w:r>
      <w:r w:rsidRPr="00861223">
        <w:rPr>
          <w:lang w:val="en-US"/>
        </w:rPr>
        <w:t xml:space="preserve">: </w:t>
      </w:r>
      <w:r w:rsidR="00861223" w:rsidRPr="00861223">
        <w:rPr>
          <w:lang w:val="en-US"/>
        </w:rPr>
        <w:t>I</w:t>
      </w:r>
      <w:r w:rsidRPr="00861223">
        <w:rPr>
          <w:lang w:val="en-US"/>
        </w:rPr>
        <w:t>on concentrations in (a)</w:t>
      </w:r>
      <w:r w:rsidR="005125B3" w:rsidRPr="00861223">
        <w:rPr>
          <w:lang w:val="en-US"/>
        </w:rPr>
        <w:t>,(c)</w:t>
      </w:r>
      <w:r w:rsidRPr="00861223">
        <w:rPr>
          <w:lang w:val="en-US"/>
        </w:rPr>
        <w:t xml:space="preserve"> retentate and (</w:t>
      </w:r>
      <w:r w:rsidR="005125B3" w:rsidRPr="00861223">
        <w:rPr>
          <w:lang w:val="en-US"/>
        </w:rPr>
        <w:t>b),(d)</w:t>
      </w:r>
      <w:r w:rsidRPr="00861223">
        <w:rPr>
          <w:lang w:val="en-US"/>
        </w:rPr>
        <w:t xml:space="preserve"> permeate during normal filtration</w:t>
      </w:r>
      <w:r w:rsidR="005125B3" w:rsidRPr="00861223">
        <w:rPr>
          <w:lang w:val="en-US"/>
        </w:rPr>
        <w:t xml:space="preserve"> ((a),(b))  and </w:t>
      </w:r>
      <w:proofErr w:type="spellStart"/>
      <w:r w:rsidR="005125B3" w:rsidRPr="00861223">
        <w:rPr>
          <w:lang w:val="en-US"/>
        </w:rPr>
        <w:t>diafiltration</w:t>
      </w:r>
      <w:proofErr w:type="spellEnd"/>
      <w:r w:rsidR="005125B3" w:rsidRPr="00861223">
        <w:rPr>
          <w:lang w:val="en-US"/>
        </w:rPr>
        <w:t xml:space="preserve"> ((c),(d))</w:t>
      </w:r>
      <w:r w:rsidRPr="00861223">
        <w:rPr>
          <w:lang w:val="en-US"/>
        </w:rPr>
        <w:t xml:space="preserve">. </w:t>
      </w:r>
      <w:r w:rsidRPr="00651546">
        <w:rPr>
          <w:lang w:val="en-US"/>
        </w:rPr>
        <w:t xml:space="preserve">Full lines represent experimental data, dotted lines predicted data of </w:t>
      </w:r>
      <w:r w:rsidR="005125B3">
        <w:rPr>
          <w:lang w:val="en-US"/>
        </w:rPr>
        <w:t>s</w:t>
      </w:r>
      <w:r w:rsidRPr="00651546">
        <w:rPr>
          <w:lang w:val="en-US"/>
        </w:rPr>
        <w:t xml:space="preserve">odium (red), potassium (blue), </w:t>
      </w:r>
      <w:r w:rsidR="005125B3">
        <w:rPr>
          <w:lang w:val="en-US"/>
        </w:rPr>
        <w:t>m</w:t>
      </w:r>
      <w:r w:rsidRPr="00651546">
        <w:rPr>
          <w:lang w:val="en-US"/>
        </w:rPr>
        <w:t>agnesium (green)</w:t>
      </w:r>
      <w:r w:rsidR="005125B3">
        <w:rPr>
          <w:lang w:val="en-US"/>
        </w:rPr>
        <w:t xml:space="preserve"> and c</w:t>
      </w:r>
      <w:r w:rsidRPr="00651546">
        <w:rPr>
          <w:lang w:val="en-US"/>
        </w:rPr>
        <w:t>hloride (</w:t>
      </w:r>
      <w:r w:rsidR="00861223">
        <w:rPr>
          <w:lang w:val="en-US"/>
        </w:rPr>
        <w:t>p</w:t>
      </w:r>
      <w:r w:rsidRPr="00651546">
        <w:rPr>
          <w:lang w:val="en-US"/>
        </w:rPr>
        <w:t>ink)</w:t>
      </w:r>
      <w:r w:rsidR="005125B3">
        <w:rPr>
          <w:lang w:val="en-US"/>
        </w:rPr>
        <w:t>.</w:t>
      </w:r>
    </w:p>
    <w:p w14:paraId="0863246B" w14:textId="0BA75D89" w:rsidR="003F583E" w:rsidRPr="00D0315A" w:rsidRDefault="00D0315A" w:rsidP="003F583E">
      <w:pPr>
        <w:keepNext/>
        <w:jc w:val="both"/>
        <w:rPr>
          <w:b/>
          <w:lang w:val="en-US"/>
        </w:rPr>
      </w:pPr>
      <w:r w:rsidRPr="00D0315A">
        <w:rPr>
          <w:b/>
          <w:lang w:val="en-US"/>
        </w:rPr>
        <w:lastRenderedPageBreak/>
        <w:t>Acknowledgements</w:t>
      </w:r>
    </w:p>
    <w:p w14:paraId="3C931E14" w14:textId="77777777" w:rsidR="00D0315A" w:rsidRDefault="00D0315A" w:rsidP="003F583E">
      <w:pPr>
        <w:keepNext/>
        <w:jc w:val="both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6B4D649" wp14:editId="7170F0A3">
            <wp:simplePos x="0" y="0"/>
            <wp:positionH relativeFrom="column">
              <wp:posOffset>4358640</wp:posOffset>
            </wp:positionH>
            <wp:positionV relativeFrom="paragraph">
              <wp:posOffset>185420</wp:posOffset>
            </wp:positionV>
            <wp:extent cx="307975" cy="205740"/>
            <wp:effectExtent l="0" t="0" r="0" b="381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79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This project has received funding from the European Union’s Horizon 2020 research and innovation program under the Marie </w:t>
      </w:r>
      <w:proofErr w:type="spellStart"/>
      <w:r>
        <w:rPr>
          <w:lang w:val="en-US"/>
        </w:rPr>
        <w:t>Sklodowska</w:t>
      </w:r>
      <w:proofErr w:type="spellEnd"/>
      <w:r>
        <w:rPr>
          <w:lang w:val="en-US"/>
        </w:rPr>
        <w:t xml:space="preserve">-Curie grant agreement [No 847568]. </w:t>
      </w:r>
    </w:p>
    <w:p w14:paraId="2EBC17CE" w14:textId="4640BCAD" w:rsidR="00D0315A" w:rsidRPr="00112734" w:rsidRDefault="00D0315A" w:rsidP="003F583E">
      <w:pPr>
        <w:keepNext/>
        <w:jc w:val="both"/>
        <w:rPr>
          <w:lang w:val="en-US"/>
        </w:rPr>
      </w:pPr>
      <w:r>
        <w:rPr>
          <w:lang w:val="en-US"/>
        </w:rPr>
        <w:t xml:space="preserve">The Region </w:t>
      </w:r>
      <w:proofErr w:type="spellStart"/>
      <w:r>
        <w:rPr>
          <w:lang w:val="en-US"/>
        </w:rPr>
        <w:t>Hauts</w:t>
      </w:r>
      <w:proofErr w:type="spellEnd"/>
      <w:r>
        <w:rPr>
          <w:lang w:val="en-US"/>
        </w:rPr>
        <w:t>-de-</w:t>
      </w:r>
      <w:r w:rsidRPr="000E11A6">
        <w:rPr>
          <w:lang w:val="en-US"/>
        </w:rPr>
        <w:t xml:space="preserve">France and the French government are warmly acknowledged through the founding of the CPERs </w:t>
      </w:r>
      <w:proofErr w:type="spellStart"/>
      <w:r w:rsidRPr="000E11A6">
        <w:rPr>
          <w:lang w:val="en-US"/>
        </w:rPr>
        <w:t>Climibio</w:t>
      </w:r>
      <w:proofErr w:type="spellEnd"/>
      <w:r w:rsidRPr="000E11A6">
        <w:rPr>
          <w:lang w:val="en-US"/>
        </w:rPr>
        <w:t xml:space="preserve"> and ECRIN</w:t>
      </w:r>
      <w:r>
        <w:rPr>
          <w:lang w:val="en-US"/>
        </w:rPr>
        <w:t>. Professor Emile Cornelissen would like to acknowledge the FWO SBO-project Biostable [S006221N].</w:t>
      </w:r>
    </w:p>
    <w:p w14:paraId="5E78C495" w14:textId="69332FA4" w:rsidR="007A262C" w:rsidRPr="007A262C" w:rsidRDefault="007A262C" w:rsidP="007A262C">
      <w:pPr>
        <w:jc w:val="both"/>
        <w:rPr>
          <w:lang w:val="en-US"/>
        </w:rPr>
      </w:pPr>
    </w:p>
    <w:sectPr w:rsidR="007A262C" w:rsidRPr="007A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54"/>
    <w:rsid w:val="00112734"/>
    <w:rsid w:val="001661E0"/>
    <w:rsid w:val="002D62A1"/>
    <w:rsid w:val="003F583E"/>
    <w:rsid w:val="004229F4"/>
    <w:rsid w:val="00462410"/>
    <w:rsid w:val="004B52DD"/>
    <w:rsid w:val="005125B3"/>
    <w:rsid w:val="00560542"/>
    <w:rsid w:val="0064500F"/>
    <w:rsid w:val="00651546"/>
    <w:rsid w:val="00654C86"/>
    <w:rsid w:val="0066545B"/>
    <w:rsid w:val="00693354"/>
    <w:rsid w:val="007843E9"/>
    <w:rsid w:val="007A262C"/>
    <w:rsid w:val="00861223"/>
    <w:rsid w:val="00881421"/>
    <w:rsid w:val="008909CE"/>
    <w:rsid w:val="00A80CC2"/>
    <w:rsid w:val="00A93CBF"/>
    <w:rsid w:val="00AC1BD1"/>
    <w:rsid w:val="00AE3C4C"/>
    <w:rsid w:val="00D0315A"/>
    <w:rsid w:val="00D14088"/>
    <w:rsid w:val="00DC0344"/>
    <w:rsid w:val="00E04A6F"/>
    <w:rsid w:val="00E113F3"/>
    <w:rsid w:val="00EB574E"/>
    <w:rsid w:val="00ED1D73"/>
    <w:rsid w:val="00EF573C"/>
    <w:rsid w:val="00F60E93"/>
    <w:rsid w:val="00F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44AC"/>
  <w15:chartTrackingRefBased/>
  <w15:docId w15:val="{4394EB1A-83CC-4BCF-AB79-7BD8D7A8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3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A2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D1D73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3F58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29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29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29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9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9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9F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0315A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D0315A"/>
    <w:pPr>
      <w:spacing w:after="120" w:line="276" w:lineRule="auto"/>
    </w:pPr>
    <w:rPr>
      <w:sz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D0315A"/>
    <w:rPr>
      <w:sz w:val="20"/>
      <w:lang w:val="fr-FR"/>
    </w:rPr>
  </w:style>
  <w:style w:type="character" w:customStyle="1" w:styleId="A0">
    <w:name w:val="A0"/>
    <w:uiPriority w:val="99"/>
    <w:rsid w:val="00D0315A"/>
    <w:rPr>
      <w:rFonts w:ascii="Verdana" w:hAnsi="Verdana" w:cs="Verdana" w:hint="default"/>
      <w:color w:val="003D8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://www.capture-resource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Karlien Dejaeger</dc:creator>
  <cp:keywords/>
  <dc:description/>
  <cp:lastModifiedBy>Karlien Dejaeger</cp:lastModifiedBy>
  <cp:revision>10</cp:revision>
  <dcterms:created xsi:type="dcterms:W3CDTF">2021-07-05T08:44:00Z</dcterms:created>
  <dcterms:modified xsi:type="dcterms:W3CDTF">2021-11-15T09:52:00Z</dcterms:modified>
</cp:coreProperties>
</file>